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10</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11</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792" w:type="pct"/>
        <w:tblInd w:w="0" w:type="dxa"/>
        <w:tblLayout w:type="fixed"/>
        <w:tblCellMar>
          <w:top w:w="0" w:type="dxa"/>
          <w:left w:w="108" w:type="dxa"/>
          <w:bottom w:w="0" w:type="dxa"/>
          <w:right w:w="108" w:type="dxa"/>
        </w:tblCellMar>
      </w:tblPr>
      <w:tblGrid>
        <w:gridCol w:w="982"/>
        <w:gridCol w:w="1707"/>
        <w:gridCol w:w="843"/>
        <w:gridCol w:w="1333"/>
        <w:gridCol w:w="1473"/>
        <w:gridCol w:w="1105"/>
        <w:gridCol w:w="1105"/>
        <w:gridCol w:w="999"/>
      </w:tblGrid>
      <w:tr w14:paraId="4932B986">
        <w:tblPrEx>
          <w:tblCellMar>
            <w:top w:w="0" w:type="dxa"/>
            <w:left w:w="108" w:type="dxa"/>
            <w:bottom w:w="0" w:type="dxa"/>
            <w:right w:w="108" w:type="dxa"/>
          </w:tblCellMar>
        </w:tblPrEx>
        <w:trPr>
          <w:trHeight w:val="953" w:hRule="atLeast"/>
        </w:trPr>
        <w:tc>
          <w:tcPr>
            <w:tcW w:w="514" w:type="pct"/>
            <w:tcBorders>
              <w:top w:val="single" w:color="auto" w:sz="4" w:space="0"/>
              <w:left w:val="single" w:color="auto" w:sz="4" w:space="0"/>
              <w:bottom w:val="single" w:color="auto" w:sz="4" w:space="0"/>
              <w:right w:val="single" w:color="auto" w:sz="4" w:space="0"/>
            </w:tcBorders>
            <w:noWrap w:val="0"/>
            <w:vAlign w:val="center"/>
          </w:tcPr>
          <w:p w14:paraId="43EC16E7">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894" w:type="pct"/>
            <w:tcBorders>
              <w:top w:val="single" w:color="auto" w:sz="4" w:space="0"/>
              <w:left w:val="nil"/>
              <w:bottom w:val="single" w:color="auto" w:sz="4" w:space="0"/>
              <w:right w:val="single" w:color="auto" w:sz="4" w:space="0"/>
            </w:tcBorders>
            <w:noWrap w:val="0"/>
            <w:vAlign w:val="center"/>
          </w:tcPr>
          <w:p w14:paraId="6EA138C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441" w:type="pct"/>
            <w:tcBorders>
              <w:top w:val="single" w:color="auto" w:sz="4" w:space="0"/>
              <w:left w:val="nil"/>
              <w:bottom w:val="single" w:color="auto" w:sz="4" w:space="0"/>
              <w:right w:val="single" w:color="auto" w:sz="4" w:space="0"/>
            </w:tcBorders>
            <w:noWrap w:val="0"/>
            <w:vAlign w:val="center"/>
          </w:tcPr>
          <w:p w14:paraId="267BDEF3">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697" w:type="pct"/>
            <w:tcBorders>
              <w:top w:val="single" w:color="auto" w:sz="4" w:space="0"/>
              <w:left w:val="nil"/>
              <w:bottom w:val="single" w:color="auto" w:sz="4" w:space="0"/>
              <w:right w:val="single" w:color="auto" w:sz="4" w:space="0"/>
            </w:tcBorders>
            <w:noWrap w:val="0"/>
            <w:vAlign w:val="center"/>
          </w:tcPr>
          <w:p w14:paraId="7E1D9292">
            <w:pPr>
              <w:widowControl/>
              <w:jc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rPr>
              <w:t>建筑面积</w:t>
            </w:r>
          </w:p>
        </w:tc>
        <w:tc>
          <w:tcPr>
            <w:tcW w:w="771" w:type="pct"/>
            <w:tcBorders>
              <w:top w:val="single" w:color="auto" w:sz="4" w:space="0"/>
              <w:left w:val="nil"/>
              <w:bottom w:val="single" w:color="auto" w:sz="4" w:space="0"/>
              <w:right w:val="single" w:color="auto" w:sz="4" w:space="0"/>
            </w:tcBorders>
            <w:noWrap w:val="0"/>
            <w:vAlign w:val="center"/>
          </w:tcPr>
          <w:p w14:paraId="5E8E7002">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578" w:type="pct"/>
            <w:tcBorders>
              <w:top w:val="single" w:color="auto" w:sz="4" w:space="0"/>
              <w:left w:val="nil"/>
              <w:bottom w:val="single" w:color="auto" w:sz="4" w:space="0"/>
              <w:right w:val="single" w:color="auto" w:sz="4" w:space="0"/>
            </w:tcBorders>
            <w:noWrap w:val="0"/>
            <w:vAlign w:val="center"/>
          </w:tcPr>
          <w:p w14:paraId="7DFCE741">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578" w:type="pct"/>
            <w:tcBorders>
              <w:top w:val="single" w:color="auto" w:sz="4" w:space="0"/>
              <w:left w:val="nil"/>
              <w:bottom w:val="single" w:color="auto" w:sz="4" w:space="0"/>
              <w:right w:val="single" w:color="auto" w:sz="4" w:space="0"/>
            </w:tcBorders>
            <w:noWrap/>
            <w:vAlign w:val="center"/>
          </w:tcPr>
          <w:p w14:paraId="6D022E14">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c>
          <w:tcPr>
            <w:tcW w:w="523" w:type="pct"/>
            <w:tcBorders>
              <w:top w:val="single" w:color="auto" w:sz="4" w:space="0"/>
              <w:left w:val="nil"/>
              <w:bottom w:val="single" w:color="auto" w:sz="4" w:space="0"/>
              <w:right w:val="single" w:color="auto" w:sz="4" w:space="0"/>
            </w:tcBorders>
            <w:noWrap/>
            <w:vAlign w:val="center"/>
          </w:tcPr>
          <w:p w14:paraId="21919107">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3924837E">
        <w:tblPrEx>
          <w:tblCellMar>
            <w:top w:w="0" w:type="dxa"/>
            <w:left w:w="108" w:type="dxa"/>
            <w:bottom w:w="0" w:type="dxa"/>
            <w:right w:w="108" w:type="dxa"/>
          </w:tblCellMar>
        </w:tblPrEx>
        <w:trPr>
          <w:trHeight w:val="963" w:hRule="atLeast"/>
        </w:trPr>
        <w:tc>
          <w:tcPr>
            <w:tcW w:w="514" w:type="pct"/>
            <w:vMerge w:val="restart"/>
            <w:tcBorders>
              <w:top w:val="single" w:color="auto" w:sz="4" w:space="0"/>
              <w:left w:val="single" w:color="auto" w:sz="8" w:space="0"/>
              <w:right w:val="single" w:color="auto" w:sz="8" w:space="0"/>
            </w:tcBorders>
            <w:noWrap w:val="0"/>
            <w:vAlign w:val="center"/>
          </w:tcPr>
          <w:p w14:paraId="1C28DF5D">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p w14:paraId="01653263">
            <w:pPr>
              <w:widowControl/>
              <w:jc w:val="center"/>
              <w:rPr>
                <w:rFonts w:hint="default" w:ascii="宋体" w:hAnsi="宋体" w:cs="宋体"/>
                <w:color w:val="000000"/>
                <w:kern w:val="0"/>
                <w:sz w:val="21"/>
                <w:szCs w:val="21"/>
                <w:highlight w:val="none"/>
                <w:lang w:val="en-US" w:eastAsia="zh-CN"/>
              </w:rPr>
            </w:pPr>
          </w:p>
        </w:tc>
        <w:tc>
          <w:tcPr>
            <w:tcW w:w="894" w:type="pct"/>
            <w:tcBorders>
              <w:top w:val="single" w:color="auto" w:sz="4" w:space="0"/>
              <w:left w:val="nil"/>
              <w:bottom w:val="single" w:color="auto" w:sz="4" w:space="0"/>
              <w:right w:val="single" w:color="auto" w:sz="8" w:space="0"/>
            </w:tcBorders>
            <w:noWrap w:val="0"/>
            <w:vAlign w:val="center"/>
          </w:tcPr>
          <w:p w14:paraId="4ED8C573">
            <w:pPr>
              <w:widowControl/>
              <w:jc w:val="center"/>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兴光燃气地块办公用房</w:t>
            </w:r>
          </w:p>
          <w:p w14:paraId="1B290C90">
            <w:pPr>
              <w:widowControl/>
              <w:jc w:val="center"/>
              <w:rPr>
                <w:rFonts w:hint="default" w:ascii="宋体" w:hAnsi="宋体" w:cs="宋体"/>
                <w:color w:val="auto"/>
                <w:kern w:val="0"/>
                <w:sz w:val="21"/>
                <w:szCs w:val="21"/>
                <w:highlight w:val="none"/>
                <w:lang w:val="en-US" w:eastAsia="zh-CN"/>
              </w:rPr>
            </w:pPr>
          </w:p>
        </w:tc>
        <w:tc>
          <w:tcPr>
            <w:tcW w:w="441" w:type="pct"/>
            <w:vMerge w:val="restart"/>
            <w:tcBorders>
              <w:top w:val="single" w:color="auto" w:sz="4" w:space="0"/>
              <w:left w:val="nil"/>
              <w:right w:val="single" w:color="auto" w:sz="8" w:space="0"/>
            </w:tcBorders>
            <w:noWrap w:val="0"/>
            <w:vAlign w:val="center"/>
          </w:tcPr>
          <w:p w14:paraId="51E472A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auto"/>
                <w:kern w:val="0"/>
                <w:sz w:val="21"/>
                <w:szCs w:val="21"/>
                <w:highlight w:val="none"/>
                <w:lang w:val="en-US" w:eastAsia="zh-CN"/>
              </w:rPr>
              <w:t>办公及工业用房</w:t>
            </w:r>
          </w:p>
        </w:tc>
        <w:tc>
          <w:tcPr>
            <w:tcW w:w="697" w:type="pct"/>
            <w:tcBorders>
              <w:top w:val="single" w:color="auto" w:sz="4" w:space="0"/>
              <w:left w:val="nil"/>
              <w:bottom w:val="single" w:color="auto" w:sz="4" w:space="0"/>
              <w:right w:val="single" w:color="auto" w:sz="8" w:space="0"/>
            </w:tcBorders>
            <w:noWrap w:val="0"/>
            <w:vAlign w:val="center"/>
          </w:tcPr>
          <w:p w14:paraId="3CA9322F">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bidi="ar-SA"/>
              </w:rPr>
              <w:t>2092.8</w:t>
            </w:r>
            <w:r>
              <w:rPr>
                <w:rFonts w:hint="eastAsia" w:ascii="宋体" w:hAnsi="宋体" w:cs="宋体"/>
                <w:color w:val="000000"/>
                <w:kern w:val="0"/>
                <w:sz w:val="21"/>
                <w:szCs w:val="21"/>
                <w:highlight w:val="none"/>
              </w:rPr>
              <w:t>平方米</w:t>
            </w:r>
          </w:p>
        </w:tc>
        <w:tc>
          <w:tcPr>
            <w:tcW w:w="771" w:type="pct"/>
            <w:vMerge w:val="restart"/>
            <w:tcBorders>
              <w:top w:val="single" w:color="auto" w:sz="4" w:space="0"/>
              <w:left w:val="nil"/>
              <w:right w:val="single" w:color="auto" w:sz="8" w:space="0"/>
            </w:tcBorders>
            <w:noWrap w:val="0"/>
            <w:vAlign w:val="center"/>
          </w:tcPr>
          <w:p w14:paraId="1BBFA6FF">
            <w:pPr>
              <w:pStyle w:val="9"/>
              <w:shd w:val="clear" w:color="auto" w:fill="FFFFFF"/>
              <w:snapToGrid w:val="0"/>
              <w:spacing w:before="0" w:beforeAutospacing="0" w:after="0" w:afterAutospacing="0" w:line="320" w:lineRule="exact"/>
              <w:ind w:firstLine="210" w:firstLineChars="100"/>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4434400</w:t>
            </w:r>
          </w:p>
        </w:tc>
        <w:tc>
          <w:tcPr>
            <w:tcW w:w="578" w:type="pct"/>
            <w:vMerge w:val="restart"/>
            <w:tcBorders>
              <w:top w:val="single" w:color="auto" w:sz="4" w:space="0"/>
              <w:left w:val="nil"/>
              <w:right w:val="nil"/>
            </w:tcBorders>
            <w:noWrap w:val="0"/>
            <w:vAlign w:val="center"/>
          </w:tcPr>
          <w:p w14:paraId="19C85E43">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1000000</w:t>
            </w:r>
          </w:p>
        </w:tc>
        <w:tc>
          <w:tcPr>
            <w:tcW w:w="578" w:type="pct"/>
            <w:vMerge w:val="restart"/>
            <w:tcBorders>
              <w:top w:val="single" w:color="auto" w:sz="4" w:space="0"/>
              <w:left w:val="single" w:color="auto" w:sz="4" w:space="0"/>
              <w:right w:val="single" w:color="auto" w:sz="4" w:space="0"/>
            </w:tcBorders>
            <w:noWrap w:val="0"/>
            <w:vAlign w:val="center"/>
          </w:tcPr>
          <w:p w14:paraId="4245CC1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523" w:type="pct"/>
            <w:vMerge w:val="restart"/>
            <w:tcBorders>
              <w:top w:val="single" w:color="auto" w:sz="4" w:space="0"/>
              <w:left w:val="single" w:color="auto" w:sz="4" w:space="0"/>
              <w:right w:val="single" w:color="auto" w:sz="4" w:space="0"/>
            </w:tcBorders>
            <w:noWrap w:val="0"/>
            <w:vAlign w:val="center"/>
          </w:tcPr>
          <w:p w14:paraId="64D940D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空置</w:t>
            </w:r>
          </w:p>
        </w:tc>
      </w:tr>
      <w:tr w14:paraId="6938D2A2">
        <w:tblPrEx>
          <w:tblCellMar>
            <w:top w:w="0" w:type="dxa"/>
            <w:left w:w="108" w:type="dxa"/>
            <w:bottom w:w="0" w:type="dxa"/>
            <w:right w:w="108" w:type="dxa"/>
          </w:tblCellMar>
        </w:tblPrEx>
        <w:trPr>
          <w:trHeight w:val="963" w:hRule="atLeast"/>
        </w:trPr>
        <w:tc>
          <w:tcPr>
            <w:tcW w:w="514" w:type="pct"/>
            <w:vMerge w:val="continue"/>
            <w:tcBorders>
              <w:left w:val="single" w:color="auto" w:sz="8" w:space="0"/>
              <w:right w:val="single" w:color="auto" w:sz="8" w:space="0"/>
            </w:tcBorders>
            <w:noWrap w:val="0"/>
            <w:vAlign w:val="center"/>
          </w:tcPr>
          <w:p w14:paraId="29E8D95C">
            <w:pPr>
              <w:widowControl/>
              <w:jc w:val="center"/>
              <w:rPr>
                <w:rFonts w:hint="eastAsia" w:ascii="宋体" w:hAnsi="宋体" w:cs="宋体"/>
                <w:color w:val="000000"/>
                <w:kern w:val="0"/>
                <w:sz w:val="21"/>
                <w:szCs w:val="21"/>
                <w:highlight w:val="none"/>
                <w:lang w:val="en-US" w:eastAsia="zh-CN"/>
              </w:rPr>
            </w:pPr>
          </w:p>
        </w:tc>
        <w:tc>
          <w:tcPr>
            <w:tcW w:w="894" w:type="pct"/>
            <w:tcBorders>
              <w:top w:val="single" w:color="auto" w:sz="4" w:space="0"/>
              <w:left w:val="nil"/>
              <w:bottom w:val="single" w:color="auto" w:sz="4" w:space="0"/>
              <w:right w:val="single" w:color="auto" w:sz="8" w:space="0"/>
            </w:tcBorders>
            <w:noWrap w:val="0"/>
            <w:vAlign w:val="center"/>
          </w:tcPr>
          <w:p w14:paraId="08F784FF">
            <w:pPr>
              <w:widowControl/>
              <w:jc w:val="center"/>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兴光燃气地块棚房</w:t>
            </w:r>
          </w:p>
          <w:p w14:paraId="5E816E3A">
            <w:pPr>
              <w:widowControl/>
              <w:jc w:val="center"/>
              <w:rPr>
                <w:rFonts w:hint="eastAsia" w:ascii="宋体" w:hAnsi="宋体" w:cs="宋体"/>
                <w:color w:val="auto"/>
                <w:kern w:val="0"/>
                <w:sz w:val="21"/>
                <w:szCs w:val="21"/>
                <w:highlight w:val="none"/>
                <w:lang w:val="en-US" w:eastAsia="zh-CN"/>
              </w:rPr>
            </w:pPr>
          </w:p>
        </w:tc>
        <w:tc>
          <w:tcPr>
            <w:tcW w:w="441" w:type="pct"/>
            <w:vMerge w:val="continue"/>
            <w:tcBorders>
              <w:left w:val="nil"/>
              <w:bottom w:val="single" w:color="auto" w:sz="4" w:space="0"/>
              <w:right w:val="single" w:color="auto" w:sz="8" w:space="0"/>
            </w:tcBorders>
            <w:noWrap w:val="0"/>
            <w:vAlign w:val="center"/>
          </w:tcPr>
          <w:p w14:paraId="0F862646">
            <w:pPr>
              <w:widowControl/>
              <w:jc w:val="center"/>
              <w:rPr>
                <w:rFonts w:hint="default" w:ascii="宋体" w:hAnsi="宋体" w:cs="宋体"/>
                <w:color w:val="000000"/>
                <w:kern w:val="0"/>
                <w:sz w:val="21"/>
                <w:szCs w:val="21"/>
                <w:highlight w:val="none"/>
                <w:lang w:val="en-US" w:eastAsia="zh-CN"/>
              </w:rPr>
            </w:pPr>
          </w:p>
        </w:tc>
        <w:tc>
          <w:tcPr>
            <w:tcW w:w="697" w:type="pct"/>
            <w:tcBorders>
              <w:top w:val="single" w:color="auto" w:sz="4" w:space="0"/>
              <w:left w:val="nil"/>
              <w:bottom w:val="single" w:color="auto" w:sz="4" w:space="0"/>
              <w:right w:val="single" w:color="auto" w:sz="8" w:space="0"/>
            </w:tcBorders>
            <w:noWrap w:val="0"/>
            <w:vAlign w:val="center"/>
          </w:tcPr>
          <w:p w14:paraId="441CABED">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177.2</w:t>
            </w:r>
            <w:r>
              <w:rPr>
                <w:rFonts w:hint="eastAsia" w:ascii="宋体" w:hAnsi="宋体" w:cs="宋体"/>
                <w:color w:val="000000"/>
                <w:kern w:val="0"/>
                <w:sz w:val="21"/>
                <w:szCs w:val="21"/>
                <w:highlight w:val="none"/>
              </w:rPr>
              <w:t>平方米</w:t>
            </w:r>
          </w:p>
        </w:tc>
        <w:tc>
          <w:tcPr>
            <w:tcW w:w="771" w:type="pct"/>
            <w:vMerge w:val="continue"/>
            <w:tcBorders>
              <w:left w:val="nil"/>
              <w:right w:val="single" w:color="auto" w:sz="8" w:space="0"/>
            </w:tcBorders>
            <w:noWrap w:val="0"/>
            <w:vAlign w:val="center"/>
          </w:tcPr>
          <w:p w14:paraId="27687E84">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p>
        </w:tc>
        <w:tc>
          <w:tcPr>
            <w:tcW w:w="578" w:type="pct"/>
            <w:vMerge w:val="continue"/>
            <w:tcBorders>
              <w:left w:val="nil"/>
              <w:right w:val="nil"/>
            </w:tcBorders>
            <w:noWrap w:val="0"/>
            <w:vAlign w:val="center"/>
          </w:tcPr>
          <w:p w14:paraId="5078BE0F">
            <w:pPr>
              <w:widowControl/>
              <w:jc w:val="center"/>
              <w:textAlignment w:val="center"/>
              <w:rPr>
                <w:rFonts w:hint="eastAsia" w:ascii="宋体" w:hAnsi="宋体" w:cs="宋体"/>
                <w:color w:val="000000"/>
                <w:kern w:val="0"/>
                <w:sz w:val="21"/>
                <w:szCs w:val="21"/>
                <w:highlight w:val="none"/>
                <w:lang w:val="en-US" w:eastAsia="zh-CN"/>
              </w:rPr>
            </w:pPr>
          </w:p>
        </w:tc>
        <w:tc>
          <w:tcPr>
            <w:tcW w:w="578" w:type="pct"/>
            <w:vMerge w:val="continue"/>
            <w:tcBorders>
              <w:left w:val="single" w:color="auto" w:sz="4" w:space="0"/>
              <w:right w:val="single" w:color="auto" w:sz="4" w:space="0"/>
            </w:tcBorders>
            <w:noWrap w:val="0"/>
            <w:vAlign w:val="center"/>
          </w:tcPr>
          <w:p w14:paraId="079E1035">
            <w:pPr>
              <w:widowControl/>
              <w:jc w:val="center"/>
              <w:rPr>
                <w:rFonts w:hint="eastAsia" w:ascii="宋体" w:hAnsi="宋体" w:cs="宋体"/>
                <w:color w:val="000000"/>
                <w:kern w:val="0"/>
                <w:sz w:val="21"/>
                <w:szCs w:val="21"/>
                <w:highlight w:val="none"/>
                <w:lang w:val="en-US" w:eastAsia="zh-CN"/>
              </w:rPr>
            </w:pPr>
          </w:p>
        </w:tc>
        <w:tc>
          <w:tcPr>
            <w:tcW w:w="523" w:type="pct"/>
            <w:vMerge w:val="continue"/>
            <w:tcBorders>
              <w:left w:val="single" w:color="auto" w:sz="4" w:space="0"/>
              <w:right w:val="single" w:color="auto" w:sz="4" w:space="0"/>
            </w:tcBorders>
            <w:noWrap w:val="0"/>
            <w:vAlign w:val="center"/>
          </w:tcPr>
          <w:p w14:paraId="393F486F">
            <w:pPr>
              <w:widowControl/>
              <w:jc w:val="center"/>
              <w:rPr>
                <w:rFonts w:hint="eastAsia" w:ascii="宋体" w:hAnsi="宋体" w:cs="宋体"/>
                <w:color w:val="000000"/>
                <w:kern w:val="0"/>
                <w:sz w:val="21"/>
                <w:szCs w:val="21"/>
                <w:highlight w:val="none"/>
                <w:lang w:val="en-US" w:eastAsia="zh-CN"/>
              </w:rPr>
            </w:pPr>
          </w:p>
        </w:tc>
      </w:tr>
      <w:tr w14:paraId="522C154E">
        <w:tblPrEx>
          <w:tblCellMar>
            <w:top w:w="0" w:type="dxa"/>
            <w:left w:w="108" w:type="dxa"/>
            <w:bottom w:w="0" w:type="dxa"/>
            <w:right w:w="108" w:type="dxa"/>
          </w:tblCellMar>
        </w:tblPrEx>
        <w:trPr>
          <w:trHeight w:val="963" w:hRule="atLeast"/>
        </w:trPr>
        <w:tc>
          <w:tcPr>
            <w:tcW w:w="514" w:type="pct"/>
            <w:vMerge w:val="continue"/>
            <w:tcBorders>
              <w:left w:val="single" w:color="auto" w:sz="8" w:space="0"/>
              <w:bottom w:val="single" w:color="auto" w:sz="4" w:space="0"/>
              <w:right w:val="single" w:color="auto" w:sz="8" w:space="0"/>
            </w:tcBorders>
            <w:noWrap w:val="0"/>
            <w:vAlign w:val="center"/>
          </w:tcPr>
          <w:p w14:paraId="5352CC1B">
            <w:pPr>
              <w:widowControl/>
              <w:jc w:val="center"/>
              <w:rPr>
                <w:rFonts w:hint="default" w:ascii="宋体" w:hAnsi="宋体" w:cs="宋体"/>
                <w:color w:val="000000"/>
                <w:kern w:val="0"/>
                <w:sz w:val="21"/>
                <w:szCs w:val="21"/>
                <w:highlight w:val="none"/>
                <w:lang w:val="en-US" w:eastAsia="zh-CN"/>
              </w:rPr>
            </w:pPr>
          </w:p>
        </w:tc>
        <w:tc>
          <w:tcPr>
            <w:tcW w:w="894" w:type="pct"/>
            <w:tcBorders>
              <w:top w:val="single" w:color="auto" w:sz="4" w:space="0"/>
              <w:left w:val="nil"/>
              <w:bottom w:val="single" w:color="auto" w:sz="4" w:space="0"/>
              <w:right w:val="single" w:color="auto" w:sz="8" w:space="0"/>
            </w:tcBorders>
            <w:noWrap w:val="0"/>
            <w:vAlign w:val="center"/>
          </w:tcPr>
          <w:p w14:paraId="09E79131">
            <w:pPr>
              <w:widowControl/>
              <w:jc w:val="center"/>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省供销社农资公司地块</w:t>
            </w:r>
          </w:p>
          <w:p w14:paraId="3F6CB311">
            <w:pPr>
              <w:widowControl/>
              <w:jc w:val="center"/>
              <w:rPr>
                <w:rFonts w:hint="eastAsia" w:ascii="宋体" w:hAnsi="宋体" w:cs="宋体"/>
                <w:color w:val="auto"/>
                <w:kern w:val="0"/>
                <w:sz w:val="21"/>
                <w:szCs w:val="21"/>
                <w:highlight w:val="none"/>
                <w:lang w:val="en-US" w:eastAsia="zh-CN"/>
              </w:rPr>
            </w:pPr>
          </w:p>
        </w:tc>
        <w:tc>
          <w:tcPr>
            <w:tcW w:w="441" w:type="pct"/>
            <w:tcBorders>
              <w:top w:val="single" w:color="auto" w:sz="4" w:space="0"/>
              <w:left w:val="nil"/>
              <w:bottom w:val="single" w:color="auto" w:sz="4" w:space="0"/>
              <w:right w:val="single" w:color="auto" w:sz="8" w:space="0"/>
            </w:tcBorders>
            <w:noWrap w:val="0"/>
            <w:vAlign w:val="center"/>
          </w:tcPr>
          <w:p w14:paraId="6AB28459">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仓储</w:t>
            </w:r>
          </w:p>
        </w:tc>
        <w:tc>
          <w:tcPr>
            <w:tcW w:w="697" w:type="pct"/>
            <w:tcBorders>
              <w:top w:val="single" w:color="auto" w:sz="4" w:space="0"/>
              <w:left w:val="nil"/>
              <w:bottom w:val="single" w:color="auto" w:sz="4" w:space="0"/>
              <w:right w:val="single" w:color="auto" w:sz="8" w:space="0"/>
            </w:tcBorders>
            <w:noWrap w:val="0"/>
            <w:vAlign w:val="center"/>
          </w:tcPr>
          <w:p w14:paraId="40F7996F">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137.2亩</w:t>
            </w:r>
          </w:p>
        </w:tc>
        <w:tc>
          <w:tcPr>
            <w:tcW w:w="771" w:type="pct"/>
            <w:vMerge w:val="continue"/>
            <w:tcBorders>
              <w:left w:val="nil"/>
              <w:bottom w:val="single" w:color="auto" w:sz="4" w:space="0"/>
              <w:right w:val="single" w:color="auto" w:sz="8" w:space="0"/>
            </w:tcBorders>
            <w:noWrap w:val="0"/>
            <w:vAlign w:val="center"/>
          </w:tcPr>
          <w:p w14:paraId="188EC16E">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p>
        </w:tc>
        <w:tc>
          <w:tcPr>
            <w:tcW w:w="578" w:type="pct"/>
            <w:vMerge w:val="continue"/>
            <w:tcBorders>
              <w:left w:val="nil"/>
              <w:bottom w:val="single" w:color="auto" w:sz="4" w:space="0"/>
              <w:right w:val="nil"/>
            </w:tcBorders>
            <w:noWrap w:val="0"/>
            <w:vAlign w:val="center"/>
          </w:tcPr>
          <w:p w14:paraId="04FBEC70">
            <w:pPr>
              <w:widowControl/>
              <w:jc w:val="center"/>
              <w:textAlignment w:val="center"/>
              <w:rPr>
                <w:rFonts w:hint="eastAsia" w:ascii="宋体" w:hAnsi="宋体" w:cs="宋体"/>
                <w:color w:val="000000"/>
                <w:kern w:val="0"/>
                <w:sz w:val="21"/>
                <w:szCs w:val="21"/>
                <w:highlight w:val="none"/>
                <w:lang w:val="en-US" w:eastAsia="zh-CN"/>
              </w:rPr>
            </w:pPr>
          </w:p>
        </w:tc>
        <w:tc>
          <w:tcPr>
            <w:tcW w:w="578" w:type="pct"/>
            <w:vMerge w:val="continue"/>
            <w:tcBorders>
              <w:left w:val="single" w:color="auto" w:sz="4" w:space="0"/>
              <w:bottom w:val="single" w:color="auto" w:sz="4" w:space="0"/>
              <w:right w:val="single" w:color="auto" w:sz="4" w:space="0"/>
            </w:tcBorders>
            <w:noWrap w:val="0"/>
            <w:vAlign w:val="center"/>
          </w:tcPr>
          <w:p w14:paraId="576C09C5">
            <w:pPr>
              <w:widowControl/>
              <w:jc w:val="center"/>
              <w:rPr>
                <w:rFonts w:hint="default" w:ascii="宋体" w:hAnsi="宋体" w:cs="宋体"/>
                <w:color w:val="000000"/>
                <w:kern w:val="0"/>
                <w:sz w:val="21"/>
                <w:szCs w:val="21"/>
                <w:highlight w:val="none"/>
                <w:lang w:val="en-US" w:eastAsia="zh-CN"/>
              </w:rPr>
            </w:pPr>
          </w:p>
        </w:tc>
        <w:tc>
          <w:tcPr>
            <w:tcW w:w="523" w:type="pct"/>
            <w:vMerge w:val="continue"/>
            <w:tcBorders>
              <w:left w:val="single" w:color="auto" w:sz="4" w:space="0"/>
              <w:bottom w:val="single" w:color="auto" w:sz="4" w:space="0"/>
              <w:right w:val="single" w:color="auto" w:sz="4" w:space="0"/>
            </w:tcBorders>
            <w:noWrap w:val="0"/>
            <w:vAlign w:val="center"/>
          </w:tcPr>
          <w:p w14:paraId="752AF7BD">
            <w:pPr>
              <w:widowControl/>
              <w:jc w:val="center"/>
              <w:rPr>
                <w:rFonts w:hint="eastAsia" w:ascii="宋体" w:hAnsi="宋体" w:cs="宋体"/>
                <w:color w:val="000000"/>
                <w:kern w:val="0"/>
                <w:sz w:val="21"/>
                <w:szCs w:val="21"/>
                <w:highlight w:val="none"/>
                <w:lang w:val="en-US" w:eastAsia="zh-CN"/>
              </w:rPr>
            </w:pPr>
          </w:p>
        </w:tc>
      </w:tr>
    </w:tbl>
    <w:p w14:paraId="4C97115D">
      <w:pPr>
        <w:spacing w:line="420" w:lineRule="exact"/>
        <w:rPr>
          <w:rFonts w:hint="eastAsia" w:ascii="宋体" w:hAnsi="宋体"/>
          <w:b/>
          <w:color w:val="auto"/>
          <w:sz w:val="24"/>
          <w:szCs w:val="24"/>
        </w:rPr>
      </w:pPr>
    </w:p>
    <w:p w14:paraId="153BCBAB">
      <w:pPr>
        <w:spacing w:line="420" w:lineRule="exact"/>
        <w:ind w:firstLine="482" w:firstLineChars="200"/>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762C38CE">
      <w:pPr>
        <w:numPr>
          <w:ilvl w:val="0"/>
          <w:numId w:val="1"/>
        </w:numPr>
        <w:spacing w:line="420" w:lineRule="exact"/>
        <w:ind w:firstLine="482" w:firstLineChars="200"/>
        <w:rPr>
          <w:rFonts w:hint="eastAsia" w:ascii="宋体" w:hAnsi="宋体" w:cs="宋体"/>
          <w:b/>
          <w:sz w:val="24"/>
        </w:rPr>
      </w:pPr>
      <w:r>
        <w:rPr>
          <w:rFonts w:hint="eastAsia" w:ascii="宋体" w:hAnsi="宋体"/>
          <w:b/>
          <w:sz w:val="24"/>
        </w:rPr>
        <w:t>标</w:t>
      </w:r>
      <w:r>
        <w:rPr>
          <w:rFonts w:hint="eastAsia" w:ascii="宋体" w:hAnsi="宋体" w:cs="宋体"/>
          <w:b/>
          <w:sz w:val="24"/>
        </w:rPr>
        <w:t>的</w:t>
      </w:r>
      <w:r>
        <w:rPr>
          <w:rFonts w:hint="eastAsia" w:ascii="宋体" w:hAnsi="宋体"/>
          <w:b/>
          <w:sz w:val="24"/>
        </w:rPr>
        <w:t>不得存放易燃易爆品、</w:t>
      </w:r>
      <w:r>
        <w:rPr>
          <w:rFonts w:hint="eastAsia" w:ascii="宋体" w:hAnsi="宋体" w:cs="宋体"/>
          <w:b/>
          <w:sz w:val="24"/>
        </w:rPr>
        <w:t>灌装液体、</w:t>
      </w:r>
      <w:r>
        <w:rPr>
          <w:rFonts w:hint="eastAsia" w:ascii="宋体" w:hAnsi="宋体"/>
          <w:b/>
          <w:sz w:val="24"/>
        </w:rPr>
        <w:t>危险化学品等，不能违反国家或当地政府环境质量要求产生噪音、废气、废水等污染物，</w:t>
      </w:r>
      <w:r>
        <w:rPr>
          <w:rFonts w:hint="eastAsia" w:ascii="宋体" w:hAnsi="宋体" w:cs="宋体"/>
          <w:b/>
          <w:sz w:val="24"/>
        </w:rPr>
        <w:t>不得在场地上放置渣土及搭建任何建筑物等，不得在场地内进行机械设备及车辆维修、拆装等，不得擅自直接或变相地全部或部分转租、转让标的，不得擅自改变标的用途，</w:t>
      </w:r>
      <w:r>
        <w:rPr>
          <w:rFonts w:hint="eastAsia" w:ascii="宋体" w:hAnsi="宋体"/>
          <w:b/>
          <w:sz w:val="24"/>
        </w:rPr>
        <w:t>不得进行法律、法规禁止的其他活动。</w:t>
      </w:r>
      <w:r>
        <w:rPr>
          <w:rFonts w:hint="eastAsia" w:ascii="宋体" w:hAnsi="宋体" w:cs="宋体"/>
          <w:b/>
          <w:sz w:val="24"/>
        </w:rPr>
        <w:t>如发现违反该标的规定使用的，视为违约，委托人（出租人）有权无条件收回该标的，履约保证金不予退还</w:t>
      </w:r>
      <w:r>
        <w:rPr>
          <w:rFonts w:hint="eastAsia" w:ascii="宋体" w:hAnsi="宋体" w:cs="宋体"/>
          <w:b/>
          <w:sz w:val="24"/>
          <w:lang w:eastAsia="zh-CN"/>
        </w:rPr>
        <w:t>，</w:t>
      </w:r>
      <w:r>
        <w:rPr>
          <w:rFonts w:hint="eastAsia" w:ascii="宋体" w:hAnsi="宋体" w:cs="宋体"/>
          <w:b/>
          <w:sz w:val="24"/>
          <w:szCs w:val="24"/>
        </w:rPr>
        <w:t>买受人（承租人）还需承担相应的违约责任</w:t>
      </w:r>
      <w:r>
        <w:rPr>
          <w:rFonts w:hint="eastAsia" w:ascii="宋体" w:hAnsi="宋体" w:cs="宋体"/>
          <w:b/>
          <w:sz w:val="24"/>
        </w:rPr>
        <w:t>。</w:t>
      </w:r>
    </w:p>
    <w:p w14:paraId="1B7571B9">
      <w:pPr>
        <w:numPr>
          <w:ilvl w:val="0"/>
          <w:numId w:val="1"/>
        </w:numPr>
        <w:spacing w:line="360" w:lineRule="auto"/>
        <w:ind w:firstLine="482" w:firstLineChars="0"/>
        <w:rPr>
          <w:rFonts w:ascii="宋体" w:hAnsi="宋体" w:cs="宋体"/>
          <w:b/>
          <w:kern w:val="0"/>
          <w:sz w:val="24"/>
        </w:rPr>
      </w:pPr>
      <w:r>
        <w:rPr>
          <w:rFonts w:hint="eastAsia" w:ascii="宋体" w:hAnsi="宋体"/>
          <w:b/>
          <w:sz w:val="24"/>
        </w:rPr>
        <w:t>租赁期间，若因</w:t>
      </w:r>
      <w:r>
        <w:rPr>
          <w:rFonts w:hint="eastAsia" w:ascii="宋体" w:hAnsi="宋体" w:cs="宋体"/>
          <w:b/>
          <w:sz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rPr>
        <w:t>，致使本合同不能履行时，</w:t>
      </w:r>
      <w:r>
        <w:rPr>
          <w:rFonts w:hint="eastAsia"/>
          <w:b/>
          <w:sz w:val="24"/>
        </w:rPr>
        <w:t>委托人（出租人）</w:t>
      </w:r>
      <w:r>
        <w:rPr>
          <w:rFonts w:hint="eastAsia" w:ascii="宋体" w:hAnsi="宋体"/>
          <w:b/>
          <w:sz w:val="24"/>
        </w:rPr>
        <w:t>提前二个月通知</w:t>
      </w:r>
      <w:r>
        <w:rPr>
          <w:rFonts w:hint="eastAsia" w:ascii="宋体" w:hAnsi="宋体" w:cs="宋体"/>
          <w:b/>
          <w:sz w:val="24"/>
        </w:rPr>
        <w:t>买受人（承租人）</w:t>
      </w:r>
      <w:r>
        <w:rPr>
          <w:rFonts w:hint="eastAsia" w:ascii="宋体" w:hAnsi="宋体"/>
          <w:b/>
          <w:sz w:val="24"/>
        </w:rPr>
        <w:t>，有权单方解除本合同，</w:t>
      </w:r>
      <w:r>
        <w:rPr>
          <w:rFonts w:hint="eastAsia" w:ascii="宋体" w:hAnsi="宋体" w:cs="宋体"/>
          <w:b/>
          <w:kern w:val="0"/>
          <w:sz w:val="24"/>
        </w:rPr>
        <w:t>收回租赁标的（租金按实结算），</w:t>
      </w:r>
      <w:r>
        <w:rPr>
          <w:rFonts w:hint="eastAsia" w:ascii="宋体" w:hAnsi="宋体" w:cs="宋体"/>
          <w:b/>
          <w:sz w:val="24"/>
        </w:rPr>
        <w:t>买受人（承租人）</w:t>
      </w:r>
      <w:r>
        <w:rPr>
          <w:rFonts w:hint="eastAsia" w:ascii="宋体" w:hAnsi="宋体" w:cs="宋体"/>
          <w:b/>
          <w:kern w:val="0"/>
          <w:sz w:val="24"/>
        </w:rPr>
        <w:t>必须无条件服从且不得向</w:t>
      </w:r>
      <w:r>
        <w:rPr>
          <w:rFonts w:hint="eastAsia"/>
          <w:b/>
          <w:sz w:val="24"/>
        </w:rPr>
        <w:t>委托人（出租人）</w:t>
      </w:r>
      <w:r>
        <w:rPr>
          <w:rFonts w:hint="eastAsia" w:ascii="宋体" w:hAnsi="宋体" w:cs="宋体"/>
          <w:b/>
          <w:kern w:val="0"/>
          <w:sz w:val="24"/>
        </w:rPr>
        <w:t>主张任何损失赔偿或补偿。</w:t>
      </w:r>
    </w:p>
    <w:p w14:paraId="57304B69">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04162D44">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场地内堆放的货物高度限</w:t>
      </w:r>
      <w:r>
        <w:rPr>
          <w:rFonts w:hint="eastAsia" w:ascii="宋体" w:hAnsi="宋体" w:cs="宋体"/>
          <w:b/>
          <w:kern w:val="0"/>
          <w:sz w:val="24"/>
          <w:lang w:val="en-US" w:eastAsia="zh-CN"/>
        </w:rPr>
        <w:t>15</w:t>
      </w:r>
      <w:r>
        <w:rPr>
          <w:rFonts w:hint="eastAsia" w:ascii="宋体" w:hAnsi="宋体" w:cs="宋体"/>
          <w:b/>
          <w:kern w:val="0"/>
          <w:sz w:val="24"/>
        </w:rPr>
        <w:t>米内，超出限高视为违约，委托人（出租人）有权无条件收回该标的，履约保证金不予退还，买受人（承租人）还需承担相应的违约责任</w:t>
      </w:r>
      <w:r>
        <w:rPr>
          <w:rFonts w:hint="eastAsia" w:ascii="宋体" w:hAnsi="宋体" w:cs="宋体"/>
          <w:b/>
          <w:kern w:val="0"/>
          <w:sz w:val="24"/>
          <w:lang w:eastAsia="zh-CN"/>
        </w:rPr>
        <w:t>。</w:t>
      </w:r>
    </w:p>
    <w:p w14:paraId="20FEB82C">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lang w:val="en-US" w:eastAsia="zh-CN"/>
        </w:rPr>
        <w:t>因标的周边道路限制等原因，买受人</w:t>
      </w:r>
      <w:r>
        <w:rPr>
          <w:rFonts w:hint="eastAsia" w:ascii="宋体" w:hAnsi="宋体" w:cs="宋体"/>
          <w:b/>
          <w:sz w:val="24"/>
          <w:szCs w:val="24"/>
        </w:rPr>
        <w:t>（承租人）</w:t>
      </w:r>
      <w:r>
        <w:rPr>
          <w:rFonts w:hint="eastAsia" w:ascii="宋体" w:hAnsi="宋体" w:cs="宋体"/>
          <w:b/>
          <w:kern w:val="0"/>
          <w:sz w:val="24"/>
          <w:lang w:val="en-US" w:eastAsia="zh-CN"/>
        </w:rPr>
        <w:t>所有车辆进出需施行单进单出，即从宏远路进，雄镇路出。</w:t>
      </w:r>
      <w:r>
        <w:rPr>
          <w:rFonts w:hint="eastAsia" w:ascii="宋体" w:hAnsi="宋体" w:cs="宋体"/>
          <w:b/>
          <w:sz w:val="24"/>
        </w:rPr>
        <w:t>如发现违反该标的规定使用的，视为违约，委托人（出租人）有权无条件收回该标的，履约保证金不予退还</w:t>
      </w:r>
      <w:r>
        <w:rPr>
          <w:rFonts w:hint="eastAsia" w:ascii="宋体" w:hAnsi="宋体" w:cs="宋体"/>
          <w:b/>
          <w:sz w:val="24"/>
          <w:lang w:eastAsia="zh-CN"/>
        </w:rPr>
        <w:t>，</w:t>
      </w:r>
      <w:r>
        <w:rPr>
          <w:rFonts w:hint="eastAsia" w:ascii="宋体" w:hAnsi="宋体" w:cs="宋体"/>
          <w:b/>
          <w:sz w:val="24"/>
          <w:szCs w:val="24"/>
        </w:rPr>
        <w:t>买受人（承租人）还需承担相应的违约责任</w:t>
      </w:r>
      <w:r>
        <w:rPr>
          <w:rFonts w:hint="eastAsia" w:ascii="宋体" w:hAnsi="宋体" w:cs="宋体"/>
          <w:b/>
          <w:sz w:val="24"/>
          <w:szCs w:val="24"/>
          <w:lang w:eastAsia="zh-CN"/>
        </w:rPr>
        <w:t>。</w:t>
      </w:r>
    </w:p>
    <w:p w14:paraId="66D99D0D">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lang w:val="en-US" w:eastAsia="zh-CN"/>
        </w:rPr>
        <w:t>竞买人须在看样期间对场地进行实地认真勘察，竞价成交后以实地现状为准进行移交，买受人不得以场地瑕疵等任何理由要求赔偿或拒绝交付，否则作违约处理。未按规定时间查看场地或未查看场地的，一切后果由竞买人自负。</w:t>
      </w:r>
    </w:p>
    <w:p w14:paraId="6BE9BEED">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sz w:val="24"/>
        </w:rPr>
        <w:t>买受人(承租人)必须在规定的经营范围遵纪守法、合法、规范、文明经营,不得经营易燃易爆危化品</w:t>
      </w:r>
      <w:r>
        <w:rPr>
          <w:rFonts w:hint="eastAsia" w:ascii="宋体" w:hAnsi="宋体" w:cs="宋体"/>
          <w:b/>
          <w:sz w:val="24"/>
          <w:lang w:val="en-US" w:eastAsia="zh-CN"/>
        </w:rPr>
        <w:t>和再生资源回收经营</w:t>
      </w:r>
      <w:r>
        <w:rPr>
          <w:rFonts w:hint="eastAsia" w:ascii="宋体" w:hAnsi="宋体" w:cs="宋体"/>
          <w:b/>
          <w:sz w:val="24"/>
        </w:rPr>
        <w:t>等影响周边环境的行业、扰民及违法、违规或违反公序良俗的经营活动。若买受人(承租人)违法经或超出经营范围经营的,则应由买受人(承租人)自行承担责任,与委托人(出人)无关,同时委托人(出租人)有权立即终止《</w:t>
      </w:r>
      <w:r>
        <w:rPr>
          <w:rFonts w:hint="eastAsia" w:ascii="宋体" w:hAnsi="宋体" w:cs="宋体"/>
          <w:b/>
          <w:sz w:val="24"/>
          <w:lang w:eastAsia="zh-CN"/>
        </w:rPr>
        <w:t>房屋土地</w:t>
      </w:r>
      <w:r>
        <w:rPr>
          <w:rFonts w:hint="eastAsia" w:ascii="宋体" w:hAnsi="宋体" w:cs="宋体"/>
          <w:b/>
          <w:sz w:val="24"/>
        </w:rPr>
        <w:t>租赁合同》,收回原出租的</w:t>
      </w:r>
      <w:r>
        <w:rPr>
          <w:rFonts w:hint="eastAsia" w:ascii="宋体" w:hAnsi="宋体" w:cs="宋体"/>
          <w:b/>
          <w:sz w:val="24"/>
          <w:lang w:eastAsia="zh-CN"/>
        </w:rPr>
        <w:t>标的物</w:t>
      </w:r>
      <w:r>
        <w:rPr>
          <w:rFonts w:hint="eastAsia" w:ascii="宋体" w:hAnsi="宋体" w:cs="宋体"/>
          <w:b/>
          <w:sz w:val="24"/>
        </w:rPr>
        <w:t>,由此造成的一切责任和经济赔偿均由买受人(承租人)承担。</w:t>
      </w:r>
    </w:p>
    <w:p w14:paraId="28CA4DF4">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sz w:val="24"/>
        </w:rPr>
        <w:t>买受人（承租人）</w:t>
      </w:r>
      <w:r>
        <w:rPr>
          <w:rFonts w:hint="eastAsia" w:ascii="宋体" w:hAnsi="宋体" w:cs="宋体"/>
          <w:b/>
          <w:sz w:val="24"/>
          <w:lang w:val="en-US" w:eastAsia="zh-CN"/>
        </w:rPr>
        <w:t>在经营期间场地内的地面硬化、设施设备投入扩容等一切费用由</w:t>
      </w:r>
      <w:r>
        <w:rPr>
          <w:rFonts w:hint="eastAsia" w:ascii="宋体" w:hAnsi="宋体" w:cs="宋体"/>
          <w:b/>
          <w:sz w:val="24"/>
        </w:rPr>
        <w:t>买受人（承租人）</w:t>
      </w:r>
      <w:r>
        <w:rPr>
          <w:rFonts w:hint="eastAsia" w:ascii="宋体" w:hAnsi="宋体" w:cs="宋体"/>
          <w:b/>
          <w:sz w:val="24"/>
          <w:lang w:val="en-US" w:eastAsia="zh-CN"/>
        </w:rPr>
        <w:t>自行承担结算，</w:t>
      </w:r>
      <w:r>
        <w:rPr>
          <w:rFonts w:hint="eastAsia" w:ascii="宋体" w:hAnsi="宋体" w:cs="宋体"/>
          <w:b/>
          <w:sz w:val="24"/>
          <w:lang w:eastAsia="zh-CN"/>
        </w:rPr>
        <w:t>返还</w:t>
      </w:r>
      <w:r>
        <w:rPr>
          <w:rFonts w:hint="eastAsia" w:ascii="宋体" w:hAnsi="宋体" w:cs="宋体"/>
          <w:b/>
          <w:sz w:val="24"/>
          <w:lang w:val="en-US" w:eastAsia="zh-CN"/>
        </w:rPr>
        <w:t>出租标的</w:t>
      </w:r>
      <w:r>
        <w:rPr>
          <w:rFonts w:hint="eastAsia" w:ascii="宋体" w:hAnsi="宋体" w:cs="宋体"/>
          <w:b/>
          <w:sz w:val="24"/>
          <w:lang w:eastAsia="zh-CN"/>
        </w:rPr>
        <w:t>时，</w:t>
      </w:r>
      <w:r>
        <w:rPr>
          <w:rFonts w:hint="eastAsia" w:ascii="宋体" w:hAnsi="宋体" w:cs="宋体"/>
          <w:b/>
          <w:sz w:val="24"/>
          <w:lang w:val="en-US" w:eastAsia="zh-CN"/>
        </w:rPr>
        <w:t>场地内不可移动的投入归</w:t>
      </w:r>
      <w:r>
        <w:rPr>
          <w:rFonts w:hint="eastAsia" w:ascii="宋体" w:hAnsi="宋体" w:cs="宋体"/>
          <w:b/>
          <w:sz w:val="24"/>
        </w:rPr>
        <w:t>委托人(出租人)</w:t>
      </w:r>
      <w:r>
        <w:rPr>
          <w:rFonts w:hint="eastAsia" w:ascii="宋体" w:hAnsi="宋体" w:cs="宋体"/>
          <w:b/>
          <w:sz w:val="24"/>
          <w:lang w:val="en-US" w:eastAsia="zh-CN"/>
        </w:rPr>
        <w:t>所有。</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eastAsia="宋体" w:cs="宋体"/>
          <w:color w:val="auto"/>
          <w:kern w:val="0"/>
          <w:sz w:val="24"/>
          <w:szCs w:val="24"/>
          <w:shd w:val="clear" w:color="auto" w:fill="FFFFFF"/>
        </w:rPr>
        <w:t>竞买人须为注册在宁波市内的独立企业法人（分公司不得参加），</w:t>
      </w:r>
      <w:r>
        <w:rPr>
          <w:rFonts w:hint="eastAsia" w:ascii="宋体" w:hAnsi="宋体" w:eastAsia="宋体" w:cs="宋体"/>
          <w:color w:val="auto"/>
          <w:kern w:val="0"/>
          <w:sz w:val="24"/>
          <w:szCs w:val="24"/>
          <w:highlight w:val="none"/>
          <w:shd w:val="clear" w:color="auto" w:fill="FFFFFF"/>
        </w:rPr>
        <w:t>注册</w:t>
      </w:r>
      <w:r>
        <w:rPr>
          <w:rFonts w:hint="eastAsia" w:ascii="宋体" w:hAnsi="宋体" w:eastAsia="宋体" w:cs="宋体"/>
          <w:color w:val="auto"/>
          <w:kern w:val="0"/>
          <w:sz w:val="24"/>
          <w:szCs w:val="24"/>
          <w:shd w:val="clear" w:color="auto" w:fill="FFFFFF"/>
        </w:rPr>
        <w:t>资本及实收资本到账</w:t>
      </w:r>
      <w:r>
        <w:rPr>
          <w:rFonts w:hint="eastAsia" w:ascii="宋体" w:hAnsi="宋体" w:cs="宋体"/>
          <w:color w:val="auto"/>
          <w:kern w:val="0"/>
          <w:sz w:val="24"/>
          <w:szCs w:val="24"/>
          <w:shd w:val="clear" w:color="auto" w:fill="FFFFFF"/>
          <w:lang w:val="en-US" w:eastAsia="zh-CN"/>
        </w:rPr>
        <w:t>500</w:t>
      </w:r>
      <w:r>
        <w:rPr>
          <w:rFonts w:hint="eastAsia" w:ascii="宋体" w:hAnsi="宋体" w:eastAsia="宋体" w:cs="宋体"/>
          <w:color w:val="auto"/>
          <w:kern w:val="0"/>
          <w:sz w:val="24"/>
          <w:szCs w:val="24"/>
          <w:shd w:val="clear" w:color="auto" w:fill="FFFFFF"/>
        </w:rPr>
        <w:t>万元及以上</w:t>
      </w:r>
      <w:r>
        <w:rPr>
          <w:rFonts w:hint="eastAsia" w:ascii="宋体" w:hAnsi="宋体" w:cs="宋体"/>
          <w:color w:val="auto"/>
          <w:kern w:val="0"/>
          <w:sz w:val="24"/>
          <w:szCs w:val="24"/>
          <w:shd w:val="clear" w:color="auto" w:fill="FFFFFF"/>
          <w:lang w:eastAsia="zh-CN"/>
        </w:rPr>
        <w:t>。</w:t>
      </w:r>
      <w:r>
        <w:rPr>
          <w:rFonts w:hint="eastAsia" w:ascii="宋体" w:hAnsi="宋体" w:cs="宋体"/>
          <w:color w:val="auto"/>
          <w:kern w:val="0"/>
          <w:sz w:val="24"/>
          <w:szCs w:val="24"/>
          <w:shd w:val="clear" w:color="auto" w:fill="FFFFFF"/>
          <w:lang w:val="en-US" w:eastAsia="zh-CN"/>
        </w:rPr>
        <w:t>注：报名时提供2024年度工商年报证明材料及注册资本金银行汇款凭证证明材料（需明确该资金为注册资本款</w:t>
      </w:r>
      <w:r>
        <w:rPr>
          <w:rFonts w:hint="eastAsia" w:ascii="宋体" w:hAnsi="宋体" w:cs="宋体"/>
          <w:color w:val="auto"/>
          <w:kern w:val="0"/>
          <w:sz w:val="24"/>
          <w:szCs w:val="24"/>
          <w:shd w:val="clear" w:color="auto" w:fill="FFFFFF"/>
          <w:lang w:eastAsia="zh-CN"/>
        </w:rPr>
        <w:t>）。</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10</w:t>
      </w:r>
      <w:r>
        <w:rPr>
          <w:rFonts w:hint="eastAsia" w:ascii="宋体" w:hAnsi="宋体" w:eastAsia="宋体" w:cs="宋体"/>
          <w:color w:val="auto"/>
          <w:sz w:val="24"/>
        </w:rPr>
        <w:t>月</w:t>
      </w:r>
      <w:r>
        <w:rPr>
          <w:rFonts w:hint="eastAsia" w:ascii="宋体" w:hAnsi="宋体" w:cs="宋体"/>
          <w:color w:val="auto"/>
          <w:sz w:val="24"/>
          <w:lang w:val="en-US" w:eastAsia="zh-CN"/>
        </w:rPr>
        <w:t>10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w:t>
      </w:r>
      <w:r>
        <w:rPr>
          <w:rFonts w:hint="eastAsia" w:ascii="宋体" w:hAnsi="宋体" w:cs="宋体"/>
          <w:color w:val="auto"/>
          <w:sz w:val="24"/>
          <w:szCs w:val="24"/>
          <w:lang w:val="en-US" w:eastAsia="zh-CN"/>
        </w:rPr>
        <w:t>土地</w:t>
      </w:r>
      <w:r>
        <w:rPr>
          <w:rFonts w:hint="eastAsia" w:ascii="宋体" w:hAnsi="宋体" w:eastAsia="宋体" w:cs="宋体"/>
          <w:color w:val="auto"/>
          <w:sz w:val="24"/>
          <w:szCs w:val="24"/>
        </w:rPr>
        <w:t>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按季度(每3个月)</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b w:val="0"/>
          <w:bCs/>
          <w:color w:val="auto"/>
          <w:spacing w:val="-4"/>
          <w:sz w:val="24"/>
          <w:szCs w:val="24"/>
          <w:lang w:val="en-US" w:eastAsia="zh-CN"/>
        </w:rPr>
        <w:t>》，并于《</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b w:val="0"/>
          <w:bCs/>
          <w:color w:val="auto"/>
          <w:spacing w:val="-4"/>
          <w:sz w:val="24"/>
          <w:szCs w:val="24"/>
          <w:lang w:val="en-US" w:eastAsia="zh-CN"/>
        </w:rPr>
        <w:t>》签订之日起7个工作日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50万元</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3、</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cs="宋体"/>
          <w:sz w:val="24"/>
          <w:szCs w:val="24"/>
          <w:lang w:eastAsia="zh-CN"/>
        </w:rPr>
        <w:t>》所有条款，并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w:t>
      </w:r>
      <w:r>
        <w:rPr>
          <w:rFonts w:hint="eastAsia" w:ascii="宋体" w:hAnsi="宋体" w:cs="宋体"/>
          <w:b/>
          <w:bCs w:val="0"/>
          <w:color w:val="auto"/>
          <w:kern w:val="2"/>
          <w:sz w:val="24"/>
          <w:szCs w:val="22"/>
          <w:lang w:val="en-US" w:eastAsia="zh-CN" w:bidi="ar-SA"/>
        </w:rPr>
        <w:t>土地</w:t>
      </w:r>
      <w:r>
        <w:rPr>
          <w:rFonts w:hint="eastAsia" w:ascii="宋体" w:hAnsi="宋体" w:eastAsia="宋体" w:cs="宋体"/>
          <w:b/>
          <w:bCs w:val="0"/>
          <w:color w:val="auto"/>
          <w:kern w:val="2"/>
          <w:sz w:val="24"/>
          <w:szCs w:val="22"/>
          <w:lang w:val="en-US" w:eastAsia="zh-CN" w:bidi="ar-SA"/>
        </w:rPr>
        <w:t>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cs="宋体"/>
          <w:b/>
          <w:bCs/>
          <w:sz w:val="24"/>
          <w:szCs w:val="24"/>
        </w:rPr>
        <w:t>《出租资产安全协议》</w:t>
      </w:r>
      <w:r>
        <w:rPr>
          <w:rFonts w:hint="eastAsia" w:ascii="宋体" w:hAnsi="宋体" w:cs="宋体"/>
          <w:b/>
          <w:bCs/>
          <w:sz w:val="24"/>
          <w:szCs w:val="24"/>
          <w:lang w:eastAsia="zh-CN"/>
        </w:rPr>
        <w:t>、</w:t>
      </w:r>
      <w:r>
        <w:rPr>
          <w:rFonts w:hint="eastAsia" w:ascii="宋体" w:hAnsi="宋体" w:cs="宋体"/>
          <w:b/>
          <w:bCs/>
          <w:sz w:val="24"/>
          <w:szCs w:val="24"/>
        </w:rPr>
        <w:t>《面积示意图》</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22</w:t>
      </w:r>
      <w:bookmarkStart w:id="0" w:name="_GoBack"/>
      <w:bookmarkEnd w:id="0"/>
      <w:r>
        <w:rPr>
          <w:rFonts w:hint="eastAsia" w:ascii="宋体" w:hAnsi="宋体" w:eastAsia="宋体" w:cs="宋体"/>
          <w:color w:val="auto"/>
          <w:sz w:val="24"/>
          <w:szCs w:val="24"/>
        </w:rPr>
        <w:t>日</w:t>
      </w:r>
    </w:p>
    <w:p w14:paraId="44D2C41C">
      <w:pPr>
        <w:adjustRightInd w:val="0"/>
        <w:snapToGrid w:val="0"/>
        <w:spacing w:line="560" w:lineRule="exact"/>
        <w:ind w:firstLine="1600" w:firstLineChars="5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方正小标宋简体" w:hAnsi="方正小标宋简体" w:eastAsia="方正小标宋简体" w:cs="Helvetica"/>
          <w:bCs/>
          <w:sz w:val="44"/>
          <w:szCs w:val="44"/>
          <w:lang w:bidi="ar"/>
        </w:rPr>
        <w:t>房屋（土地）租赁合同</w:t>
      </w:r>
      <w:r>
        <w:rPr>
          <w:rFonts w:hint="eastAsia" w:ascii="仿宋_GB2312" w:hAnsi="仿宋_GB2312" w:eastAsia="仿宋_GB2312" w:cs="仿宋_GB2312"/>
          <w:sz w:val="32"/>
          <w:szCs w:val="32"/>
        </w:rPr>
        <w:t xml:space="preserve"> </w:t>
      </w:r>
    </w:p>
    <w:p w14:paraId="64BA3213">
      <w:pPr>
        <w:adjustRightInd w:val="0"/>
        <w:snapToGrid w:val="0"/>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561FDCD1">
      <w:pPr>
        <w:adjustRightInd w:val="0"/>
        <w:snapToGrid w:val="0"/>
        <w:spacing w:line="560" w:lineRule="exact"/>
        <w:jc w:val="center"/>
        <w:rPr>
          <w:rFonts w:hint="eastAsia" w:ascii="方正小标宋简体" w:hAnsi="方正小标宋简体" w:eastAsia="方正小标宋简体" w:cs="Helvetica"/>
          <w:bCs/>
          <w:sz w:val="44"/>
          <w:szCs w:val="44"/>
          <w:lang w:bidi="ar"/>
        </w:rPr>
      </w:pPr>
    </w:p>
    <w:p w14:paraId="1F671691">
      <w:pPr>
        <w:wordWrap w:val="0"/>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w:t>
      </w:r>
      <w:r>
        <w:rPr>
          <w:rFonts w:hint="eastAsia" w:ascii="仿宋_GB2312" w:hAnsi="仿宋" w:eastAsia="仿宋_GB2312"/>
          <w:sz w:val="32"/>
          <w:szCs w:val="32"/>
          <w:u w:val="single"/>
        </w:rPr>
        <w:t>宁波市镇海区城市物流开发有限公司</w:t>
      </w:r>
      <w:r>
        <w:rPr>
          <w:rFonts w:hint="eastAsia" w:ascii="仿宋_GB2312" w:hAnsi="仿宋" w:eastAsia="仿宋_GB2312"/>
          <w:sz w:val="32"/>
          <w:szCs w:val="32"/>
        </w:rPr>
        <w:t xml:space="preserve">               （以下简称甲方）</w:t>
      </w:r>
    </w:p>
    <w:p w14:paraId="50D98DF2">
      <w:pPr>
        <w:wordWrap w:val="0"/>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统一社会信用代码：91330211309031622Y    </w:t>
      </w:r>
    </w:p>
    <w:p w14:paraId="45274B84">
      <w:pPr>
        <w:wordWrap w:val="0"/>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地址：宁波市镇海区平海路1188号。</w:t>
      </w:r>
    </w:p>
    <w:p w14:paraId="0F88CF30">
      <w:pPr>
        <w:wordWrap w:val="0"/>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联系电话：86288970</w:t>
      </w:r>
    </w:p>
    <w:p w14:paraId="0E811BD0">
      <w:pPr>
        <w:wordWrap w:val="0"/>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0A14B6F5">
      <w:pPr>
        <w:wordWrap w:val="0"/>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（以下简称乙方）</w:t>
      </w:r>
    </w:p>
    <w:p w14:paraId="57BB97EA">
      <w:pPr>
        <w:wordWrap w:val="0"/>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52BFCDB7">
      <w:pPr>
        <w:wordWrap w:val="0"/>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地址：    </w:t>
      </w:r>
    </w:p>
    <w:p w14:paraId="2343B9ED">
      <w:pPr>
        <w:wordWrap w:val="0"/>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784087C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5EA58621">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第一条 资产基本情况</w:t>
      </w:r>
    </w:p>
    <w:p w14:paraId="0F1779AE">
      <w:pPr>
        <w:adjustRightInd w:val="0"/>
        <w:snapToGrid w:val="0"/>
        <w:spacing w:line="560" w:lineRule="exact"/>
        <w:ind w:left="420" w:firstLine="217" w:firstLineChars="68"/>
        <w:rPr>
          <w:rFonts w:hint="eastAsia" w:ascii="仿宋_GB2312" w:hAnsi="仿宋" w:eastAsia="仿宋_GB2312"/>
          <w:sz w:val="32"/>
          <w:szCs w:val="32"/>
        </w:rPr>
      </w:pPr>
      <w:r>
        <w:rPr>
          <w:rFonts w:hint="eastAsia" w:ascii="仿宋_GB2312" w:hAnsi="仿宋" w:eastAsia="仿宋_GB2312"/>
          <w:sz w:val="32"/>
          <w:szCs w:val="32"/>
        </w:rPr>
        <w:t>（一）甲方拟出租资产坐落于</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 xml:space="preserve">，土地出租面积 </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平</w:t>
      </w:r>
      <w:r>
        <w:rPr>
          <w:rFonts w:hint="eastAsia" w:ascii="仿宋_GB2312" w:hAnsi="仿宋" w:eastAsia="仿宋_GB2312"/>
          <w:sz w:val="32"/>
          <w:szCs w:val="32"/>
        </w:rPr>
        <w:t>方米，建筑出租</w:t>
      </w:r>
      <w:r>
        <w:rPr>
          <w:rFonts w:hint="eastAsia" w:ascii="仿宋_GB2312" w:hAnsi="仿宋" w:eastAsia="仿宋_GB2312"/>
          <w:color w:val="000000"/>
          <w:sz w:val="32"/>
          <w:szCs w:val="32"/>
        </w:rPr>
        <w:t xml:space="preserve">面积 </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平</w:t>
      </w:r>
      <w:r>
        <w:rPr>
          <w:rFonts w:hint="eastAsia" w:ascii="仿宋_GB2312" w:hAnsi="仿宋" w:eastAsia="仿宋_GB2312"/>
          <w:sz w:val="32"/>
          <w:szCs w:val="32"/>
        </w:rPr>
        <w:t>方米，出租资产状态以移交时为准</w:t>
      </w:r>
      <w:r>
        <w:rPr>
          <w:rFonts w:hint="eastAsia" w:ascii="仿宋_GB2312" w:hAnsi="仿宋" w:eastAsia="仿宋_GB2312"/>
          <w:color w:val="000000"/>
          <w:sz w:val="32"/>
          <w:szCs w:val="32"/>
        </w:rPr>
        <w:t>；</w:t>
      </w:r>
    </w:p>
    <w:p w14:paraId="12A3CBF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（二）装修、设备情况：</w:t>
      </w:r>
    </w:p>
    <w:p w14:paraId="30D3E48C">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u w:val="single"/>
        </w:rPr>
        <w:t xml:space="preserve">                                          </w:t>
      </w:r>
    </w:p>
    <w:p w14:paraId="4BF39C5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5BC1620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24DAE876">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第二条 资产用途</w:t>
      </w:r>
    </w:p>
    <w:p w14:paraId="7D14ADA3">
      <w:pPr>
        <w:adjustRightInd w:val="0"/>
        <w:snapToGrid w:val="0"/>
        <w:spacing w:line="56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双方约定，租赁该资产仅作为</w:t>
      </w:r>
      <w:r>
        <w:rPr>
          <w:rFonts w:hint="eastAsia" w:ascii="仿宋_GB2312" w:hAnsi="仿宋" w:eastAsia="仿宋_GB2312"/>
          <w:sz w:val="32"/>
          <w:szCs w:val="32"/>
          <w:highlight w:val="none"/>
          <w:u w:val="single"/>
        </w:rPr>
        <w:t xml:space="preserve">  仓储  </w:t>
      </w:r>
      <w:r>
        <w:rPr>
          <w:rFonts w:hint="eastAsia" w:ascii="仿宋_GB2312" w:hAnsi="仿宋" w:eastAsia="仿宋_GB2312"/>
          <w:sz w:val="32"/>
          <w:szCs w:val="32"/>
          <w:highlight w:val="none"/>
        </w:rPr>
        <w:t>使用。乙方不得随意改变资产用途，相关约定如下：</w:t>
      </w:r>
    </w:p>
    <w:p w14:paraId="1D563DF4">
      <w:pPr>
        <w:adjustRightInd w:val="0"/>
        <w:snapToGrid w:val="0"/>
        <w:spacing w:line="56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一）租赁场地不得存放易燃易爆品、灌装液体、危险化学品等，不能违反国家或当地政府环境质量要求产生噪音、废气、废水等污染物，不得在场地上放置渣土及搭建任何建筑物等，不得在场地内进行机械设备及车辆维修、拆装等，不得擅自直接或变相地全部或部分转租、转让租赁场地，不得擅自改租赁场地的用途，不得进行法律、法规禁止的其他活动。如发现违反该租赁场地规定使用的，视为违约，甲方有权无条件收回该租赁场地，履约保证金不予退还，乙方还需承担相应的违约责任。</w:t>
      </w:r>
    </w:p>
    <w:p w14:paraId="1093774F">
      <w:pPr>
        <w:adjustRightInd w:val="0"/>
        <w:snapToGrid w:val="0"/>
        <w:spacing w:line="56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（二）租赁场地内堆放的货物高度限10米内，超出限高视为违约，甲方有权无条件收回该租赁场地，履约保证金不予退还，乙方还需承担相应的违约责任。</w:t>
      </w:r>
    </w:p>
    <w:p w14:paraId="0454D7FC">
      <w:pPr>
        <w:adjustRightInd w:val="0"/>
        <w:snapToGrid w:val="0"/>
        <w:spacing w:line="56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三）因租赁场地周边道路限制等原因，乙方所有车辆进出需施行单进单出，即从宏远路进，雄镇路出。如发现违反该租赁场地规定使用的，视为违约，甲方有权无条件收回该租赁场地，履约保证金不予退还，乙方还需承担相应的违约责任。</w:t>
      </w:r>
    </w:p>
    <w:p w14:paraId="45EEA08F">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第三条 租赁期限</w:t>
      </w:r>
    </w:p>
    <w:p w14:paraId="6E9268C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01C9E06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38B18D21">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第四条 租赁履约保证金</w:t>
      </w:r>
    </w:p>
    <w:p w14:paraId="0E80050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rPr>
        <w:t>之日起7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604EC14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485A914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1、欠付租金及其他费用；</w:t>
      </w:r>
    </w:p>
    <w:p w14:paraId="5584E0C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65B0402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35992C4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50443DB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第五条 租金及付款方式</w:t>
      </w:r>
    </w:p>
    <w:p w14:paraId="64FF74F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（一）双方约定，年租金标准为</w:t>
      </w:r>
      <w:r>
        <w:rPr>
          <w:rFonts w:hint="eastAsia" w:ascii="仿宋_GB2312" w:hAnsi="仿宋" w:eastAsia="仿宋_GB2312"/>
          <w:sz w:val="32"/>
          <w:szCs w:val="32"/>
          <w:u w:val="single"/>
        </w:rPr>
        <w:t xml:space="preserve">     </w:t>
      </w:r>
      <w:r>
        <w:rPr>
          <w:rFonts w:hint="eastAsia" w:ascii="仿宋_GB2312" w:hAnsi="仿宋" w:eastAsia="仿宋_GB2312"/>
          <w:sz w:val="32"/>
          <w:szCs w:val="32"/>
        </w:rPr>
        <w:t>元,租金按季度(每3个月)支付一次，先付后用。</w:t>
      </w:r>
    </w:p>
    <w:p w14:paraId="3737BE8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3161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vAlign w:val="center"/>
          </w:tcPr>
          <w:p w14:paraId="7095898C">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期 次</w:t>
            </w:r>
          </w:p>
        </w:tc>
        <w:tc>
          <w:tcPr>
            <w:tcW w:w="2763" w:type="dxa"/>
            <w:vAlign w:val="center"/>
          </w:tcPr>
          <w:p w14:paraId="33CAC2C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支付时点</w:t>
            </w:r>
          </w:p>
        </w:tc>
        <w:tc>
          <w:tcPr>
            <w:tcW w:w="2655" w:type="dxa"/>
            <w:vAlign w:val="center"/>
          </w:tcPr>
          <w:p w14:paraId="049E72E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计费周期</w:t>
            </w:r>
          </w:p>
        </w:tc>
        <w:tc>
          <w:tcPr>
            <w:tcW w:w="2340" w:type="dxa"/>
            <w:vAlign w:val="center"/>
          </w:tcPr>
          <w:p w14:paraId="4DAAED5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当期应付数额/元</w:t>
            </w:r>
          </w:p>
        </w:tc>
      </w:tr>
      <w:tr w14:paraId="6E91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trPr>
        <w:tc>
          <w:tcPr>
            <w:tcW w:w="1273" w:type="dxa"/>
            <w:vAlign w:val="center"/>
          </w:tcPr>
          <w:p w14:paraId="780C253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第一期</w:t>
            </w:r>
          </w:p>
        </w:tc>
        <w:tc>
          <w:tcPr>
            <w:tcW w:w="2763" w:type="dxa"/>
            <w:vAlign w:val="center"/>
          </w:tcPr>
          <w:p w14:paraId="04FDC3D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tc>
        <w:tc>
          <w:tcPr>
            <w:tcW w:w="2655" w:type="dxa"/>
            <w:vAlign w:val="center"/>
          </w:tcPr>
          <w:p w14:paraId="164E125A">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4C22CFFA">
            <w:pPr>
              <w:adjustRightInd w:val="0"/>
              <w:snapToGrid w:val="0"/>
              <w:spacing w:line="560" w:lineRule="exact"/>
              <w:ind w:firstLine="640" w:firstLineChars="200"/>
              <w:rPr>
                <w:rFonts w:hint="eastAsia" w:ascii="仿宋_GB2312" w:hAnsi="仿宋" w:eastAsia="仿宋_GB2312"/>
                <w:sz w:val="32"/>
                <w:szCs w:val="32"/>
              </w:rPr>
            </w:pPr>
          </w:p>
        </w:tc>
      </w:tr>
      <w:tr w14:paraId="03ED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1273" w:type="dxa"/>
            <w:vAlign w:val="center"/>
          </w:tcPr>
          <w:p w14:paraId="5D69939A">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第二期</w:t>
            </w:r>
          </w:p>
        </w:tc>
        <w:tc>
          <w:tcPr>
            <w:tcW w:w="2763" w:type="dxa"/>
            <w:vAlign w:val="center"/>
          </w:tcPr>
          <w:p w14:paraId="36506977">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45EAD0FF">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5C60AD83">
            <w:pPr>
              <w:adjustRightInd w:val="0"/>
              <w:snapToGrid w:val="0"/>
              <w:spacing w:line="560" w:lineRule="exact"/>
              <w:ind w:firstLine="640" w:firstLineChars="200"/>
              <w:rPr>
                <w:rFonts w:hint="eastAsia" w:ascii="仿宋_GB2312" w:hAnsi="仿宋" w:eastAsia="仿宋_GB2312"/>
                <w:sz w:val="32"/>
                <w:szCs w:val="32"/>
              </w:rPr>
            </w:pPr>
          </w:p>
        </w:tc>
      </w:tr>
    </w:tbl>
    <w:p w14:paraId="450E97A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5BDC314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单位名称：</w:t>
      </w:r>
      <w:r>
        <w:rPr>
          <w:rFonts w:hint="eastAsia" w:ascii="仿宋_GB2312" w:hAnsi="仿宋" w:eastAsia="仿宋_GB2312"/>
          <w:sz w:val="32"/>
          <w:szCs w:val="32"/>
          <w:u w:val="single"/>
        </w:rPr>
        <w:t>宁波市镇海区城市物流开发有限公司</w:t>
      </w:r>
    </w:p>
    <w:p w14:paraId="295ACA8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纳税人识别号：91330211309031622Y</w:t>
      </w:r>
    </w:p>
    <w:p w14:paraId="1B1797A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地址电话：镇海区招宝山街道平海路1188号86266308</w:t>
      </w:r>
    </w:p>
    <w:p w14:paraId="73226F0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开户银行：中国建设银行宁波市镇海区支行</w:t>
      </w:r>
    </w:p>
    <w:p w14:paraId="0B0A860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开户账号：33101984036050513724</w:t>
      </w:r>
    </w:p>
    <w:p w14:paraId="2DC4D220">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乙方支付租金后，甲方应当向乙方提供正规税务发票（租金为含税价</w:t>
      </w:r>
      <w:r>
        <w:rPr>
          <w:rFonts w:ascii="仿宋_GB2312" w:hAnsi="仿宋" w:eastAsia="仿宋_GB2312"/>
          <w:sz w:val="32"/>
          <w:szCs w:val="32"/>
        </w:rPr>
        <w:t>）</w:t>
      </w:r>
      <w:r>
        <w:rPr>
          <w:rFonts w:hint="eastAsia" w:ascii="仿宋_GB2312" w:hAnsi="仿宋" w:eastAsia="仿宋_GB2312"/>
          <w:sz w:val="32"/>
          <w:szCs w:val="32"/>
        </w:rPr>
        <w:t>。</w:t>
      </w:r>
    </w:p>
    <w:p w14:paraId="72BDDAB5">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乙方开票信息：</w:t>
      </w:r>
    </w:p>
    <w:p w14:paraId="787C3DB9">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公司名称：               </w:t>
      </w:r>
    </w:p>
    <w:p w14:paraId="5158D8AB">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地址电话：                </w:t>
      </w:r>
    </w:p>
    <w:p w14:paraId="587CF8B4">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开户银行：                </w:t>
      </w:r>
    </w:p>
    <w:p w14:paraId="4D5DF066">
      <w:pPr>
        <w:adjustRightInd w:val="0"/>
        <w:snapToGrid w:val="0"/>
        <w:spacing w:line="560" w:lineRule="exact"/>
        <w:ind w:firstLine="600" w:firstLineChars="200"/>
        <w:rPr>
          <w:rFonts w:hint="eastAsia" w:ascii="仿宋_GB2312" w:hAnsi="仿宋" w:eastAsia="仿宋_GB2312"/>
          <w:sz w:val="32"/>
          <w:szCs w:val="32"/>
          <w:u w:val="single"/>
        </w:rPr>
      </w:pPr>
      <w:r>
        <w:rPr>
          <w:rFonts w:hint="eastAsia" w:ascii="宋体" w:hAnsi="宋体" w:cs="宋体"/>
          <w:sz w:val="30"/>
          <w:szCs w:val="30"/>
        </w:rPr>
        <w:t>开户</w:t>
      </w:r>
      <w:r>
        <w:rPr>
          <w:rFonts w:hint="eastAsia" w:ascii="仿宋_GB2312" w:hAnsi="仿宋" w:eastAsia="仿宋_GB2312"/>
          <w:sz w:val="32"/>
          <w:szCs w:val="32"/>
          <w:u w:val="single"/>
        </w:rPr>
        <w:t xml:space="preserve">账号：                 </w:t>
      </w:r>
    </w:p>
    <w:p w14:paraId="27DC5F2F">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第六条 资产租赁期间的相关费用</w:t>
      </w:r>
    </w:p>
    <w:p w14:paraId="4C3C57A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41FB89BE">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租赁期间牵涉到的水、电、气、通讯、物业管理费、厂区出入口设置等一切经营费用以及出租使用期间的日常维修、维护、保养、扩容等一切费用等。；</w:t>
      </w:r>
    </w:p>
    <w:p w14:paraId="69E02353">
      <w:pPr>
        <w:numPr>
          <w:ilvl w:val="0"/>
          <w:numId w:val="4"/>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其他与资产使用相关的税金或费用。</w:t>
      </w:r>
    </w:p>
    <w:p w14:paraId="56B8172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（二）乙方应对经营活动产生的噪音、废水、废气进行妥善处理，不得为此影响周边居民和单位的正常工作、生活，因此造成的一切损失和责任均由乙方承担。</w:t>
      </w:r>
    </w:p>
    <w:p w14:paraId="6F5DBBAA">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第七条 甲方的权利与义务</w:t>
      </w:r>
    </w:p>
    <w:p w14:paraId="79F549F0">
      <w:pPr>
        <w:numPr>
          <w:ilvl w:val="0"/>
          <w:numId w:val="5"/>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因政策性拆迁或不可抗力（指不可预见、不能避免、不能克服的客观情况）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由甲方享有，但法律、法规规定应当由乙方享有的除外。</w:t>
      </w:r>
    </w:p>
    <w:p w14:paraId="52226CA7">
      <w:pPr>
        <w:numPr>
          <w:ilvl w:val="0"/>
          <w:numId w:val="5"/>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没收全部履约保证金，并要求乙方承担该年度租金30%的违约金，收回租赁资产，由此产生的一切损失由乙方承担。</w:t>
      </w:r>
    </w:p>
    <w:p w14:paraId="0DAF353D">
      <w:pPr>
        <w:numPr>
          <w:ilvl w:val="0"/>
          <w:numId w:val="5"/>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租赁期间，若因有项目规划或甲方经营所需等，甲方提前二个月通知乙方，有权单方解除本合同，收回租赁物（租金按实结算），乙方必须无条件服从且不得向甲方主张任何损失赔偿或补偿。</w:t>
      </w:r>
    </w:p>
    <w:p w14:paraId="159A0E3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因国家或当地政策需要拆迁、征用出租租赁场地或对租赁场地进行维护改造等非甲方行为，乙方需无条件按甲方要求搬离租赁物业或配合政府工作，乙方不得要求甲方作任何补偿，乙方不承担任何赔偿责任。</w:t>
      </w:r>
    </w:p>
    <w:p w14:paraId="522068DD">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第八条 乙方的权利与义务</w:t>
      </w:r>
    </w:p>
    <w:p w14:paraId="4063BD0D">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期间必须遵纪守法，承担租赁期间的房屋(土地)防火、防盗及门前卫生责任，不得利用租赁资产进行违法违纪活动，若发生违法违纪事件由乙方承担后果。乙方经营所涉事项与甲方无关。（附出租资产安全协议）</w:t>
      </w:r>
    </w:p>
    <w:p w14:paraId="4D588299">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乙方需装修，应事先征得甲方的同意，按规定须向有关部门审批的，则还应报请有关部门批准后，方可进行。由此产生的装修费由乙方自行承担。</w:t>
      </w:r>
    </w:p>
    <w:p w14:paraId="5797107B">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未经甲方书面同意，乙方不得擅自直接或变相全部或部份转租、转让，不得将所租资产作任何形式的抵押或担保，资产租赁期间房屋(土地)维修养护等费用由乙方负责，同时乙方必须保持房屋(土地)整体结构不受破坏，擅自拆改结构或改变用途造成损失的由乙方赔偿损失。未经甲方书面同意不得装修和搭建临时建筑物，经甲方同意装修和搭建的，租赁期满时，除可以移动的动产外，其他装修无条件无偿归甲方所有，甲方也不对此做任何补偿。乙方不得拆除所有不动产部分（包括装潢部分），乙方添附的活动物品、设备，由乙方自行处理。租赁期满，若乙方改变原甲方交付乙方时的房屋(土地)现状的，乙方交还租赁资产时应按甲方要求恢复资产原状，乙方应予以遵从并承担恢复原状费用。</w:t>
      </w:r>
    </w:p>
    <w:p w14:paraId="596023E9">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乙方在经营过程中，由于乙方原因造成第三人财产损失、人身损害或其他侵权的，由乙方自行承担相应的责任与赔偿，若甲方因此遭受损失的，乙方还应承担赔偿责任。</w:t>
      </w:r>
    </w:p>
    <w:p w14:paraId="584E8AB1">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租赁期间，乙方应负责做好消防、安全、卫生等工作，甲方有权予以督促。由于乙方消防治安等责任不到位，措施不落实等原因，导致经济损失或人员伤亡的，由乙方承担一切责任。</w:t>
      </w:r>
    </w:p>
    <w:p w14:paraId="582B9B77">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议生效之日起，保密义务不因协议有效期的终止而结束。</w:t>
      </w:r>
    </w:p>
    <w:p w14:paraId="1BF8050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七）租赁期间，若因甲方对租赁场地有项目规划、建设或其他使用需求的，致使本合同不能履行时，甲方提前二个月通知乙方，有权单方解除本合同，收回租赁场地（租金按实结算），乙方必须无条件服从且不得向甲方主张任何损失赔偿或补偿。</w:t>
      </w:r>
    </w:p>
    <w:p w14:paraId="14E61E3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八）乙方不得存放易燃易爆品、灌装液体、危险化学品等，不能产生噪音、污染物等不符合当地政府要求的排放物，不得在场地上放置渣土及搭建任何建筑物等，不得在场地内进行机械设备、车辆维修，拆装等，不得进行法律、法规禁止的其他活动。否则甲方有权解除本合同、不退还乙方剩余租金、没收乙方全部履约保证金。</w:t>
      </w:r>
    </w:p>
    <w:p w14:paraId="5B20CAD6">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第九条 租赁期满</w:t>
      </w:r>
    </w:p>
    <w:p w14:paraId="141264D0">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将租赁资产</w:t>
      </w:r>
      <w:r>
        <w:rPr>
          <w:rFonts w:ascii="仿宋_GB2312" w:hAnsi="仿宋" w:eastAsia="仿宋_GB2312"/>
          <w:sz w:val="32"/>
          <w:szCs w:val="32"/>
        </w:rPr>
        <w:t>腾退并交还给</w:t>
      </w:r>
      <w:r>
        <w:rPr>
          <w:rFonts w:hint="eastAsia" w:ascii="仿宋_GB2312" w:hAnsi="仿宋" w:eastAsia="仿宋_GB2312"/>
          <w:sz w:val="32"/>
          <w:szCs w:val="32"/>
        </w:rPr>
        <w:t>甲方</w:t>
      </w:r>
      <w:r>
        <w:rPr>
          <w:rFonts w:ascii="仿宋_GB2312" w:hAnsi="仿宋" w:eastAsia="仿宋_GB2312"/>
          <w:sz w:val="32"/>
          <w:szCs w:val="32"/>
        </w:rPr>
        <w:t>验收，</w:t>
      </w:r>
      <w:r>
        <w:rPr>
          <w:rFonts w:hint="eastAsia" w:ascii="仿宋_GB2312" w:hAnsi="仿宋" w:eastAsia="仿宋_GB2312"/>
          <w:sz w:val="32"/>
          <w:szCs w:val="32"/>
        </w:rPr>
        <w:t>否则，甲方可采用停水、停电等强制性措施；乙方逾期</w:t>
      </w:r>
      <w:r>
        <w:rPr>
          <w:rFonts w:ascii="仿宋_GB2312" w:hAnsi="仿宋" w:eastAsia="仿宋_GB2312"/>
          <w:sz w:val="32"/>
          <w:szCs w:val="32"/>
        </w:rPr>
        <w:t>腾退</w:t>
      </w:r>
      <w:r>
        <w:rPr>
          <w:rFonts w:hint="eastAsia" w:ascii="仿宋_GB2312" w:hAnsi="仿宋" w:eastAsia="仿宋_GB2312"/>
          <w:sz w:val="32"/>
          <w:szCs w:val="32"/>
        </w:rPr>
        <w:t>交还租赁资产期间按原租金三倍向甲方支付违约金。如</w:t>
      </w:r>
      <w:r>
        <w:rPr>
          <w:rFonts w:ascii="仿宋_GB2312" w:hAnsi="仿宋" w:eastAsia="仿宋_GB2312"/>
          <w:sz w:val="32"/>
          <w:szCs w:val="32"/>
        </w:rPr>
        <w:t>逾期未腾退</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rPr>
        <w:t>，处置费用由乙方自行承担，</w:t>
      </w:r>
      <w:r>
        <w:rPr>
          <w:rFonts w:hint="eastAsia" w:ascii="仿宋_GB2312" w:hAnsi="仿宋" w:eastAsia="仿宋_GB2312"/>
          <w:sz w:val="32"/>
          <w:szCs w:val="32"/>
        </w:rPr>
        <w:t>如乙方要求继续租赁且在甲方继续公开招租时，同等条件下符合下次招租条件的，乙方同等报价的享有优先承租权，但乙方须在合同到期日叁个月前书面告知甲方，并按要求办理招租登记手续, 否则视为放弃优先承租权。</w:t>
      </w:r>
    </w:p>
    <w:p w14:paraId="20B236B6">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第十条 违约责任</w:t>
      </w:r>
    </w:p>
    <w:p w14:paraId="6FE9B1F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应付未付款项的万分之五向甲方支付违约金，逾期超过15个工作日的，甲方有权立即终止合同、不退还乙方剩余租金、没收乙方全部履约保证金、采取停水停电措施并要求乙方按照年租金的30%支付违约金。</w:t>
      </w:r>
    </w:p>
    <w:p w14:paraId="735D465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的，甲方有权不退还乙方剩余租金、没收乙方的全部履约保证金并要求乙方支付一个月的租金作为违约金，如给甲方造成实际损失的，乙方还应承担赔偿责任。</w:t>
      </w:r>
    </w:p>
    <w:p w14:paraId="5C6164E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F67F8C3">
      <w:pPr>
        <w:adjustRightInd w:val="0"/>
        <w:snapToGrid w:val="0"/>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sz w:val="32"/>
          <w:szCs w:val="32"/>
        </w:rPr>
        <w:t>（四）未经甲方书面同意，乙方如果擅自直接或间接全部或部分</w:t>
      </w:r>
      <w:r>
        <w:rPr>
          <w:rFonts w:hint="eastAsia" w:ascii="仿宋_GB2312" w:hAnsi="仿宋" w:eastAsia="仿宋_GB2312"/>
          <w:color w:val="000000"/>
          <w:sz w:val="32"/>
          <w:szCs w:val="32"/>
        </w:rPr>
        <w:t>转租或擅自改变资产用途的,或违反国家法律、法规从事非法经营，或其他损害公共利益的，则甲方有权解除本合同、不退还乙方剩余租金、没收乙方全部履约保证金并要求乙方按照该年度租金的10%支付违约金。</w:t>
      </w:r>
    </w:p>
    <w:p w14:paraId="72BF0F54">
      <w:pPr>
        <w:adjustRightInd w:val="0"/>
        <w:snapToGrid w:val="0"/>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（五）退租前,乙方应将房屋打扫干净,清理屋内垃圾及杂物、恢复原状,否则视为乙方违约，如乙方违约，要求乙方按照该年度租金的10%支付违约金。</w:t>
      </w:r>
    </w:p>
    <w:p w14:paraId="26BBF617">
      <w:pPr>
        <w:adjustRightInd w:val="0"/>
        <w:snapToGrid w:val="0"/>
        <w:spacing w:line="560" w:lineRule="exact"/>
        <w:ind w:firstLine="640" w:firstLineChars="200"/>
        <w:jc w:val="left"/>
        <w:rPr>
          <w:rFonts w:hint="eastAsia" w:ascii="仿宋_GB2312" w:hAnsi="仿宋" w:eastAsia="仿宋_GB2312"/>
          <w:sz w:val="32"/>
          <w:szCs w:val="32"/>
        </w:rPr>
      </w:pPr>
      <w:r>
        <w:rPr>
          <w:rFonts w:hint="eastAsia" w:ascii="仿宋_GB2312" w:hAnsi="仿宋" w:eastAsia="仿宋_GB2312"/>
          <w:sz w:val="32"/>
          <w:szCs w:val="32"/>
        </w:rPr>
        <w:t>（六）因乙方保管不当或不合理使用,致使房屋(土地)及其附属物品、设备设施发生损坏或故障的,乙方应负责维修，如无法维修应按照设备设施的市场价承担赔偿责任，甲方有权不退还乙方剩余租金、没收乙方全部履约保证金并并要求乙方按照该年度租金的20%支付违约金，如给甲方造成实际损失的，乙方还应承担赔偿责任。</w:t>
      </w:r>
    </w:p>
    <w:p w14:paraId="13DC8B7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（七）因乙方违约，甲方为追索赔偿而支付的律师费、公证费、保全费、担保费和差旅费等费用均由乙方承担。</w:t>
      </w:r>
    </w:p>
    <w:p w14:paraId="0EDF86D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（八）在合同有效期内，如遇到不可抗力因素，致使合同无法履行，双方互不承担责任，所产生的经济损失由双方各自承担，如遇租赁资产拆迁、征用等政府行为的，一方无须向另一方承担违约责任或赔偿责任。</w:t>
      </w:r>
    </w:p>
    <w:p w14:paraId="304580F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（九）租赁期内或者乙方实际占用期间，乙方存在违约行为，经甲方事先通知乙方后拒不纠正或合理期限内未予纠正的，甲方有权采取停水停电等形式，直至乙方纠正其违约行为，而无需向乙方承担任何责任。</w:t>
      </w:r>
    </w:p>
    <w:p w14:paraId="75712B7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按照该年度租金的20%支付违约金，采取停水停电措施至乙方同意按约履行或整改时止等措施。乙方应当按照本合同约定或者告知书约定承担违约责任。</w:t>
      </w:r>
    </w:p>
    <w:p w14:paraId="119C723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第十一条 争议处理方式</w:t>
      </w:r>
    </w:p>
    <w:p w14:paraId="39D715B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0B6967A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65BB08E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535244F6">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162C7B8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（一）对于本合同未尽事项，双方可另行签订补充协议，补充协议作为本合同的附件，具有同等法律效力。</w:t>
      </w:r>
    </w:p>
    <w:p w14:paraId="438C45B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（二）本合同须经甲乙双方签字并盖章后生效。</w:t>
      </w:r>
    </w:p>
    <w:p w14:paraId="775C06A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（三）文首所载双方联系信息为双方接收文书资料（含司法程序中文书资料）的指定地址，如有变更应书面通知对方，否则相关文书资料纸质版，快递发出后两日视为送达；电子方式发出的，发出即视为送达。</w:t>
      </w:r>
    </w:p>
    <w:p w14:paraId="207807D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（四）本协议为双方平等、自愿协商的结果，是双方真实意思的表示，并且公平、合理，不存在任何重大误解、显失公平、欺诈、胁迫或乘人之危之情形。</w:t>
      </w:r>
    </w:p>
    <w:p w14:paraId="37D18E8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（五）本合同一式肆份，甲乙双方各执贰份，均具有同等的法律效力。</w:t>
      </w:r>
    </w:p>
    <w:p w14:paraId="7D56DA6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附件：</w:t>
      </w:r>
    </w:p>
    <w:p w14:paraId="080605E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1.出租资产安全协议</w:t>
      </w:r>
    </w:p>
    <w:p w14:paraId="6A1C357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2.乙方（法人代表）身份证复印件、营业执照复印件</w:t>
      </w:r>
    </w:p>
    <w:p w14:paraId="573C274A">
      <w:pPr>
        <w:adjustRightInd w:val="0"/>
        <w:snapToGrid w:val="0"/>
        <w:spacing w:line="560" w:lineRule="exact"/>
        <w:rPr>
          <w:rFonts w:hint="eastAsia" w:ascii="仿宋_GB2312" w:hAnsi="仿宋" w:eastAsia="仿宋_GB2312"/>
          <w:sz w:val="32"/>
          <w:szCs w:val="32"/>
        </w:rPr>
      </w:pPr>
    </w:p>
    <w:p w14:paraId="39BC34E6">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甲方签字(盖章)：              乙方签字(盖章)：</w:t>
      </w:r>
    </w:p>
    <w:p w14:paraId="04462E6E">
      <w:pPr>
        <w:adjustRightInd w:val="0"/>
        <w:snapToGrid w:val="0"/>
        <w:spacing w:line="560" w:lineRule="exact"/>
        <w:rPr>
          <w:rFonts w:hint="eastAsia" w:ascii="仿宋_GB2312" w:hAnsi="仿宋" w:eastAsia="仿宋_GB2312"/>
          <w:sz w:val="32"/>
          <w:szCs w:val="32"/>
        </w:rPr>
      </w:pPr>
    </w:p>
    <w:p w14:paraId="136FE16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法定代表人：                  法定代表人：</w:t>
      </w:r>
    </w:p>
    <w:p w14:paraId="46269258">
      <w:pPr>
        <w:adjustRightInd w:val="0"/>
        <w:snapToGrid w:val="0"/>
        <w:spacing w:line="560" w:lineRule="exact"/>
        <w:ind w:firstLine="640" w:firstLineChars="200"/>
        <w:rPr>
          <w:rFonts w:hint="eastAsia" w:ascii="仿宋_GB2312" w:hAnsi="仿宋" w:eastAsia="仿宋_GB2312"/>
          <w:sz w:val="32"/>
          <w:szCs w:val="32"/>
        </w:rPr>
      </w:pPr>
    </w:p>
    <w:p w14:paraId="50C90BB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年  月  日                    年  月  日</w:t>
      </w:r>
    </w:p>
    <w:p w14:paraId="4BD34BD6">
      <w:pPr>
        <w:adjustRightInd w:val="0"/>
        <w:snapToGrid w:val="0"/>
        <w:spacing w:line="600" w:lineRule="exact"/>
        <w:textAlignment w:val="bottom"/>
        <w:rPr>
          <w:rFonts w:hint="eastAsia" w:ascii="方正小标宋简体" w:hAnsi="方正小标宋简体" w:eastAsia="方正小标宋简体" w:cs="方正小标宋简体"/>
          <w:sz w:val="44"/>
          <w:szCs w:val="44"/>
        </w:rPr>
      </w:pPr>
    </w:p>
    <w:p w14:paraId="04114137">
      <w:pPr>
        <w:adjustRightInd w:val="0"/>
        <w:snapToGrid w:val="0"/>
        <w:spacing w:line="600" w:lineRule="exact"/>
        <w:textAlignment w:val="bottom"/>
        <w:rPr>
          <w:rFonts w:hint="eastAsia" w:ascii="方正小标宋简体" w:hAnsi="方正小标宋简体" w:eastAsia="方正小标宋简体" w:cs="方正小标宋简体"/>
          <w:sz w:val="44"/>
          <w:szCs w:val="44"/>
        </w:rPr>
      </w:pPr>
    </w:p>
    <w:p w14:paraId="24FF80BF">
      <w:pPr>
        <w:adjustRightInd w:val="0"/>
        <w:snapToGrid w:val="0"/>
        <w:spacing w:line="600" w:lineRule="exact"/>
        <w:textAlignment w:val="bottom"/>
        <w:rPr>
          <w:rFonts w:hint="eastAsia" w:ascii="方正小标宋简体" w:hAnsi="方正小标宋简体" w:eastAsia="方正小标宋简体" w:cs="方正小标宋简体"/>
          <w:sz w:val="44"/>
          <w:szCs w:val="44"/>
        </w:rPr>
      </w:pPr>
    </w:p>
    <w:p w14:paraId="78FAE7D7">
      <w:pPr>
        <w:adjustRightInd w:val="0"/>
        <w:snapToGrid w:val="0"/>
        <w:spacing w:line="600" w:lineRule="exact"/>
        <w:ind w:firstLine="2200" w:firstLineChars="500"/>
        <w:textAlignment w:val="bottom"/>
        <w:rPr>
          <w:rFonts w:hint="eastAsia" w:ascii="方正小标宋简体" w:hAnsi="方正小标宋简体" w:eastAsia="方正小标宋简体" w:cs="方正小标宋简体"/>
          <w:sz w:val="44"/>
          <w:szCs w:val="44"/>
        </w:rPr>
      </w:pPr>
    </w:p>
    <w:p w14:paraId="4C9D15BF">
      <w:pPr>
        <w:adjustRightInd w:val="0"/>
        <w:snapToGrid w:val="0"/>
        <w:spacing w:line="600" w:lineRule="exact"/>
        <w:ind w:firstLine="2200" w:firstLineChars="500"/>
        <w:textAlignment w:val="bottom"/>
        <w:rPr>
          <w:rFonts w:hint="eastAsia" w:ascii="方正小标宋简体" w:hAnsi="方正小标宋简体" w:eastAsia="方正小标宋简体" w:cs="方正小标宋简体"/>
          <w:sz w:val="44"/>
          <w:szCs w:val="44"/>
        </w:rPr>
      </w:pPr>
    </w:p>
    <w:p w14:paraId="415816EE">
      <w:pPr>
        <w:adjustRightInd w:val="0"/>
        <w:snapToGrid w:val="0"/>
        <w:spacing w:line="600" w:lineRule="exact"/>
        <w:ind w:firstLine="2200" w:firstLineChars="500"/>
        <w:textAlignment w:val="bottom"/>
        <w:rPr>
          <w:rFonts w:hint="eastAsia" w:ascii="方正小标宋简体" w:hAnsi="方正小标宋简体" w:eastAsia="方正小标宋简体" w:cs="方正小标宋简体"/>
          <w:sz w:val="44"/>
          <w:szCs w:val="44"/>
        </w:rPr>
      </w:pPr>
    </w:p>
    <w:p w14:paraId="6B747A6E">
      <w:pPr>
        <w:adjustRightInd w:val="0"/>
        <w:snapToGrid w:val="0"/>
        <w:spacing w:line="600" w:lineRule="exact"/>
        <w:ind w:firstLine="2200" w:firstLineChars="500"/>
        <w:textAlignment w:val="bottom"/>
        <w:rPr>
          <w:rFonts w:hint="eastAsia" w:ascii="方正小标宋简体" w:hAnsi="方正小标宋简体" w:eastAsia="方正小标宋简体" w:cs="方正小标宋简体"/>
          <w:sz w:val="44"/>
          <w:szCs w:val="44"/>
        </w:rPr>
      </w:pPr>
    </w:p>
    <w:p w14:paraId="096AE2A4">
      <w:pPr>
        <w:adjustRightInd w:val="0"/>
        <w:snapToGrid w:val="0"/>
        <w:spacing w:line="600" w:lineRule="exact"/>
        <w:ind w:firstLine="2200" w:firstLineChars="500"/>
        <w:textAlignment w:val="bottom"/>
        <w:rPr>
          <w:rFonts w:hint="eastAsia" w:ascii="方正小标宋简体" w:hAnsi="方正小标宋简体" w:eastAsia="方正小标宋简体" w:cs="方正小标宋简体"/>
          <w:sz w:val="44"/>
          <w:szCs w:val="44"/>
        </w:rPr>
      </w:pPr>
    </w:p>
    <w:p w14:paraId="43783147">
      <w:pPr>
        <w:adjustRightInd w:val="0"/>
        <w:snapToGrid w:val="0"/>
        <w:spacing w:line="600" w:lineRule="exact"/>
        <w:ind w:firstLine="2200" w:firstLineChars="500"/>
        <w:textAlignment w:val="bottom"/>
        <w:rPr>
          <w:rFonts w:hint="eastAsia" w:ascii="方正小标宋简体" w:hAnsi="方正小标宋简体" w:eastAsia="方正小标宋简体" w:cs="方正小标宋简体"/>
          <w:sz w:val="44"/>
          <w:szCs w:val="44"/>
        </w:rPr>
      </w:pPr>
    </w:p>
    <w:p w14:paraId="6E89C339">
      <w:pPr>
        <w:adjustRightInd w:val="0"/>
        <w:snapToGrid w:val="0"/>
        <w:spacing w:line="600" w:lineRule="exact"/>
        <w:ind w:firstLine="2200" w:firstLineChars="500"/>
        <w:textAlignment w:val="bottom"/>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出租资产安全协议</w:t>
      </w:r>
    </w:p>
    <w:p w14:paraId="361345E3">
      <w:pPr>
        <w:adjustRightInd w:val="0"/>
        <w:snapToGrid w:val="0"/>
        <w:spacing w:line="560" w:lineRule="exact"/>
        <w:textAlignment w:val="bottom"/>
        <w:rPr>
          <w:rFonts w:hint="eastAsia" w:ascii="仿宋_GB2312" w:hAnsi="仿宋" w:eastAsia="仿宋_GB2312"/>
          <w:sz w:val="32"/>
          <w:szCs w:val="32"/>
        </w:rPr>
      </w:pPr>
      <w:r>
        <w:rPr>
          <w:rFonts w:hint="eastAsia" w:ascii="仿宋_GB2312" w:hAnsi="仿宋" w:eastAsia="仿宋_GB2312"/>
          <w:sz w:val="32"/>
          <w:szCs w:val="32"/>
        </w:rPr>
        <w:t>出租方：</w:t>
      </w:r>
    </w:p>
    <w:p w14:paraId="1C6CE9C3">
      <w:pPr>
        <w:adjustRightInd w:val="0"/>
        <w:snapToGrid w:val="0"/>
        <w:spacing w:line="560" w:lineRule="exact"/>
        <w:textAlignment w:val="bottom"/>
        <w:rPr>
          <w:rFonts w:hint="eastAsia" w:ascii="仿宋_GB2312" w:hAnsi="仿宋" w:eastAsia="仿宋_GB2312"/>
          <w:sz w:val="32"/>
          <w:szCs w:val="32"/>
        </w:rPr>
      </w:pPr>
      <w:r>
        <w:rPr>
          <w:rFonts w:hint="eastAsia" w:ascii="仿宋_GB2312" w:hAnsi="仿宋" w:eastAsia="仿宋_GB2312"/>
          <w:sz w:val="32"/>
          <w:szCs w:val="32"/>
        </w:rPr>
        <w:t>承租方：</w:t>
      </w:r>
    </w:p>
    <w:p w14:paraId="19509E95">
      <w:pPr>
        <w:widowControl/>
        <w:adjustRightInd w:val="0"/>
        <w:snapToGrid w:val="0"/>
        <w:spacing w:line="560" w:lineRule="exact"/>
        <w:ind w:firstLine="640" w:firstLineChars="200"/>
        <w:textAlignment w:val="bottom"/>
        <w:rPr>
          <w:rFonts w:hint="eastAsia" w:ascii="仿宋_GB2312" w:hAnsi="仿宋" w:eastAsia="仿宋_GB2312"/>
          <w:sz w:val="32"/>
          <w:szCs w:val="32"/>
        </w:rPr>
      </w:pPr>
      <w:r>
        <w:rPr>
          <w:rFonts w:hint="eastAsia" w:ascii="仿宋_GB2312" w:hAnsi="仿宋" w:eastAsia="仿宋_GB2312"/>
          <w:sz w:val="32"/>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44E06B35">
      <w:pPr>
        <w:adjustRightInd w:val="0"/>
        <w:snapToGrid w:val="0"/>
        <w:spacing w:line="560" w:lineRule="exact"/>
        <w:ind w:firstLine="640" w:firstLineChars="200"/>
        <w:textAlignment w:val="bottom"/>
        <w:rPr>
          <w:rFonts w:hint="eastAsia" w:ascii="黑体" w:hAnsi="黑体" w:eastAsia="黑体"/>
          <w:bCs/>
          <w:sz w:val="32"/>
          <w:szCs w:val="32"/>
        </w:rPr>
      </w:pPr>
      <w:r>
        <w:rPr>
          <w:rFonts w:hint="eastAsia" w:ascii="黑体" w:hAnsi="黑体" w:eastAsia="黑体"/>
          <w:bCs/>
          <w:sz w:val="32"/>
          <w:szCs w:val="32"/>
        </w:rPr>
        <w:t>一、安全责任</w:t>
      </w:r>
    </w:p>
    <w:p w14:paraId="707DA91E">
      <w:pPr>
        <w:adjustRightInd w:val="0"/>
        <w:snapToGrid w:val="0"/>
        <w:spacing w:line="560" w:lineRule="exact"/>
        <w:ind w:firstLine="640" w:firstLineChars="200"/>
        <w:textAlignment w:val="bottom"/>
        <w:rPr>
          <w:rFonts w:hint="eastAsia" w:ascii="仿宋_GB2312" w:hAnsi="仿宋" w:eastAsia="仿宋_GB2312"/>
          <w:sz w:val="32"/>
          <w:szCs w:val="32"/>
        </w:rPr>
      </w:pPr>
      <w:r>
        <w:rPr>
          <w:rFonts w:hint="eastAsia" w:ascii="仿宋_GB2312" w:hAnsi="仿宋" w:eastAsia="仿宋_GB2312"/>
          <w:sz w:val="32"/>
          <w:szCs w:val="32"/>
        </w:rPr>
        <w:t>房屋（土地）承租方是所租赁房屋（土地）的安全全权责任人，负责该房屋（土地）及附属设施的安全责任。</w:t>
      </w:r>
    </w:p>
    <w:p w14:paraId="1FCDCE13">
      <w:pPr>
        <w:adjustRightInd w:val="0"/>
        <w:snapToGrid w:val="0"/>
        <w:spacing w:line="560" w:lineRule="exact"/>
        <w:ind w:firstLine="640" w:firstLineChars="200"/>
        <w:textAlignment w:val="bottom"/>
        <w:rPr>
          <w:rFonts w:hint="eastAsia" w:ascii="黑体" w:hAnsi="黑体" w:eastAsia="黑体"/>
          <w:bCs/>
          <w:sz w:val="32"/>
          <w:szCs w:val="32"/>
        </w:rPr>
      </w:pPr>
      <w:r>
        <w:rPr>
          <w:rFonts w:hint="eastAsia" w:ascii="黑体" w:hAnsi="黑体" w:eastAsia="黑体"/>
          <w:bCs/>
          <w:sz w:val="32"/>
          <w:szCs w:val="32"/>
        </w:rPr>
        <w:t>二、安全责任内容</w:t>
      </w:r>
    </w:p>
    <w:p w14:paraId="35677137">
      <w:pPr>
        <w:adjustRightInd w:val="0"/>
        <w:snapToGrid w:val="0"/>
        <w:spacing w:line="560" w:lineRule="exact"/>
        <w:ind w:firstLine="640" w:firstLineChars="200"/>
        <w:textAlignment w:val="bottom"/>
        <w:rPr>
          <w:rFonts w:hint="eastAsia" w:ascii="仿宋_GB2312" w:hAnsi="仿宋" w:eastAsia="仿宋_GB2312"/>
          <w:sz w:val="32"/>
          <w:szCs w:val="32"/>
        </w:rPr>
      </w:pPr>
      <w:r>
        <w:rPr>
          <w:rFonts w:hint="eastAsia" w:ascii="仿宋_GB2312" w:hAnsi="仿宋" w:eastAsia="仿宋_GB2312"/>
          <w:sz w:val="32"/>
          <w:szCs w:val="32"/>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C6F1B4D">
      <w:pPr>
        <w:adjustRightInd w:val="0"/>
        <w:snapToGrid w:val="0"/>
        <w:spacing w:line="560" w:lineRule="exact"/>
        <w:ind w:firstLine="640" w:firstLineChars="200"/>
        <w:textAlignment w:val="bottom"/>
        <w:rPr>
          <w:rFonts w:hint="eastAsia" w:ascii="仿宋_GB2312" w:hAnsi="仿宋" w:eastAsia="仿宋_GB2312"/>
          <w:sz w:val="32"/>
          <w:szCs w:val="32"/>
        </w:rPr>
      </w:pPr>
      <w:r>
        <w:rPr>
          <w:rFonts w:hint="eastAsia" w:ascii="仿宋_GB2312" w:hAnsi="仿宋" w:eastAsia="仿宋_GB2312"/>
          <w:sz w:val="32"/>
          <w:szCs w:val="32"/>
        </w:rPr>
        <w:t>（二）加强消防安全教育，提高消防安全常识。承租方必须按消防规定配足配齐灭火器材，懂得消防防火知识并会操作使用消防器材，消防设备必须有专人负责管理，提高自防自救能力。</w:t>
      </w:r>
    </w:p>
    <w:p w14:paraId="2D774E63">
      <w:pPr>
        <w:adjustRightInd w:val="0"/>
        <w:snapToGrid w:val="0"/>
        <w:spacing w:line="560" w:lineRule="exact"/>
        <w:ind w:firstLine="640" w:firstLineChars="200"/>
        <w:textAlignment w:val="bottom"/>
        <w:rPr>
          <w:rFonts w:hint="eastAsia" w:ascii="仿宋_GB2312" w:hAnsi="仿宋" w:eastAsia="仿宋_GB2312"/>
          <w:sz w:val="32"/>
          <w:szCs w:val="32"/>
        </w:rPr>
      </w:pPr>
      <w:r>
        <w:rPr>
          <w:rFonts w:hint="eastAsia" w:ascii="仿宋_GB2312" w:hAnsi="仿宋" w:eastAsia="仿宋_GB2312"/>
          <w:sz w:val="32"/>
          <w:szCs w:val="32"/>
        </w:rPr>
        <w:t>（三）保证安全通道畅通，严禁封闭、堵塞安全通道。餐饮业人员活动区域严禁存放易燃、可燃物品，不得存放易燃、易爆和有毒物品。</w:t>
      </w:r>
    </w:p>
    <w:p w14:paraId="5506F7A4">
      <w:pPr>
        <w:adjustRightInd w:val="0"/>
        <w:snapToGrid w:val="0"/>
        <w:spacing w:line="560" w:lineRule="exact"/>
        <w:ind w:firstLine="640" w:firstLineChars="200"/>
        <w:textAlignment w:val="bottom"/>
        <w:rPr>
          <w:rFonts w:hint="eastAsia" w:ascii="仿宋_GB2312" w:hAnsi="仿宋" w:eastAsia="仿宋_GB2312"/>
          <w:sz w:val="32"/>
          <w:szCs w:val="32"/>
        </w:rPr>
      </w:pPr>
      <w:r>
        <w:rPr>
          <w:rFonts w:hint="eastAsia" w:ascii="仿宋_GB2312" w:hAnsi="仿宋" w:eastAsia="仿宋_GB2312"/>
          <w:sz w:val="32"/>
          <w:szCs w:val="32"/>
        </w:rPr>
        <w:t>（四）用电线路安装必须规范，应使用国标电线及材料。严禁一线多用及乱接乱拉现象，定期检查线路安全情况，用电线路距离明火不得少于1.5米。</w:t>
      </w:r>
    </w:p>
    <w:p w14:paraId="075739F4">
      <w:pPr>
        <w:adjustRightInd w:val="0"/>
        <w:snapToGrid w:val="0"/>
        <w:spacing w:line="560" w:lineRule="exact"/>
        <w:ind w:firstLine="640" w:firstLineChars="200"/>
        <w:textAlignment w:val="bottom"/>
        <w:rPr>
          <w:rFonts w:hint="eastAsia" w:ascii="仿宋_GB2312" w:hAnsi="仿宋" w:eastAsia="仿宋_GB2312"/>
          <w:sz w:val="32"/>
          <w:szCs w:val="32"/>
        </w:rPr>
      </w:pPr>
      <w:r>
        <w:rPr>
          <w:rFonts w:hint="eastAsia" w:ascii="仿宋_GB2312" w:hAnsi="仿宋" w:eastAsia="仿宋_GB2312"/>
          <w:sz w:val="32"/>
          <w:szCs w:val="32"/>
        </w:rPr>
        <w:t>（五）必须具备应有的工商、税务、卫生、防疫和公安机关等相关手续；经营餐饮业必须持有营业执照、健康证明、卫生许可证、特行证等相关证照。</w:t>
      </w:r>
    </w:p>
    <w:p w14:paraId="38570448">
      <w:pPr>
        <w:adjustRightInd w:val="0"/>
        <w:snapToGrid w:val="0"/>
        <w:spacing w:line="560" w:lineRule="exact"/>
        <w:ind w:firstLine="640" w:firstLineChars="200"/>
        <w:textAlignment w:val="bottom"/>
        <w:rPr>
          <w:rFonts w:hint="eastAsia" w:ascii="仿宋_GB2312" w:hAnsi="仿宋" w:eastAsia="仿宋_GB2312"/>
          <w:sz w:val="32"/>
          <w:szCs w:val="32"/>
        </w:rPr>
      </w:pPr>
      <w:r>
        <w:rPr>
          <w:rFonts w:hint="eastAsia" w:ascii="仿宋_GB2312" w:hAnsi="仿宋" w:eastAsia="仿宋_GB2312"/>
          <w:sz w:val="32"/>
          <w:szCs w:val="32"/>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7D4C124C">
      <w:pPr>
        <w:adjustRightInd w:val="0"/>
        <w:snapToGrid w:val="0"/>
        <w:spacing w:line="560" w:lineRule="exact"/>
        <w:ind w:firstLine="640" w:firstLineChars="200"/>
        <w:textAlignment w:val="bottom"/>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发生一般事故两起的，支付违约金十万元；两起以上每增加一起另支付十万元。</w:t>
      </w:r>
    </w:p>
    <w:p w14:paraId="6A66ED23">
      <w:pPr>
        <w:adjustRightInd w:val="0"/>
        <w:snapToGrid w:val="0"/>
        <w:spacing w:line="560" w:lineRule="exact"/>
        <w:ind w:firstLine="640" w:firstLineChars="200"/>
        <w:textAlignment w:val="bottom"/>
        <w:rPr>
          <w:rFonts w:hint="eastAsia" w:ascii="仿宋_GB2312" w:hAnsi="仿宋" w:eastAsia="仿宋_GB2312"/>
          <w:sz w:val="32"/>
          <w:szCs w:val="32"/>
        </w:rPr>
      </w:pPr>
      <w:r>
        <w:rPr>
          <w:rFonts w:ascii="仿宋_GB2312" w:hAnsi="仿宋" w:eastAsia="仿宋_GB2312"/>
          <w:sz w:val="32"/>
          <w:szCs w:val="32"/>
        </w:rPr>
        <w:t>2.发生较大事故的，支付违约金三十万元；每增加一起另支付三十万元。</w:t>
      </w:r>
    </w:p>
    <w:p w14:paraId="09A4378D">
      <w:pPr>
        <w:adjustRightInd w:val="0"/>
        <w:snapToGrid w:val="0"/>
        <w:spacing w:line="560" w:lineRule="exact"/>
        <w:ind w:firstLine="640" w:firstLineChars="200"/>
        <w:textAlignment w:val="bottom"/>
        <w:rPr>
          <w:rFonts w:hint="eastAsia" w:ascii="仿宋_GB2312" w:hAnsi="仿宋" w:eastAsia="仿宋_GB2312"/>
          <w:sz w:val="32"/>
          <w:szCs w:val="32"/>
        </w:rPr>
      </w:pPr>
      <w:r>
        <w:rPr>
          <w:rFonts w:ascii="仿宋_GB2312" w:hAnsi="仿宋" w:eastAsia="仿宋_GB2312"/>
          <w:sz w:val="32"/>
          <w:szCs w:val="32"/>
        </w:rPr>
        <w:t>3.发生重大事故的，支付违约金七十万元；每增加一起另支付七十万元。</w:t>
      </w:r>
    </w:p>
    <w:p w14:paraId="7BF3DBE9">
      <w:pPr>
        <w:adjustRightInd w:val="0"/>
        <w:snapToGrid w:val="0"/>
        <w:spacing w:line="560" w:lineRule="exact"/>
        <w:ind w:firstLine="640" w:firstLineChars="200"/>
        <w:textAlignment w:val="bottom"/>
        <w:rPr>
          <w:rFonts w:hint="eastAsia" w:ascii="仿宋_GB2312" w:hAnsi="仿宋" w:eastAsia="仿宋_GB2312"/>
          <w:sz w:val="32"/>
          <w:szCs w:val="32"/>
        </w:rPr>
      </w:pPr>
      <w:r>
        <w:rPr>
          <w:rFonts w:ascii="仿宋_GB2312" w:hAnsi="仿宋" w:eastAsia="仿宋_GB2312"/>
          <w:sz w:val="32"/>
          <w:szCs w:val="32"/>
        </w:rPr>
        <w:t>4.发生特别重大事故的，支付违约金一百五十万元。每增加一起另支付一百五十万元。</w:t>
      </w:r>
    </w:p>
    <w:p w14:paraId="5548629E">
      <w:pPr>
        <w:adjustRightInd w:val="0"/>
        <w:snapToGrid w:val="0"/>
        <w:spacing w:line="560" w:lineRule="exact"/>
        <w:ind w:firstLine="640" w:firstLineChars="200"/>
        <w:textAlignment w:val="bottom"/>
        <w:rPr>
          <w:rFonts w:hint="eastAsia" w:ascii="仿宋_GB2312" w:hAnsi="仿宋" w:eastAsia="仿宋_GB2312"/>
          <w:sz w:val="32"/>
          <w:szCs w:val="32"/>
        </w:rPr>
      </w:pPr>
      <w:r>
        <w:rPr>
          <w:rFonts w:hint="eastAsia" w:ascii="仿宋_GB2312" w:hAnsi="仿宋" w:eastAsia="仿宋_GB2312"/>
          <w:sz w:val="32"/>
          <w:szCs w:val="32"/>
        </w:rPr>
        <w:t>且任意一项安全生产目标被突破甲方均有权解除租赁合同，并由乙方根据租赁合同的约定承担合同解除的对应责任。</w:t>
      </w:r>
    </w:p>
    <w:p w14:paraId="54FC33AB">
      <w:pPr>
        <w:adjustRightInd w:val="0"/>
        <w:snapToGrid w:val="0"/>
        <w:spacing w:line="560" w:lineRule="exact"/>
        <w:ind w:firstLine="640" w:firstLineChars="200"/>
        <w:textAlignment w:val="bottom"/>
        <w:rPr>
          <w:rFonts w:hint="eastAsia" w:ascii="黑体" w:hAnsi="黑体" w:eastAsia="黑体"/>
          <w:bCs/>
          <w:sz w:val="32"/>
          <w:szCs w:val="32"/>
        </w:rPr>
      </w:pPr>
      <w:r>
        <w:rPr>
          <w:rFonts w:hint="eastAsia" w:ascii="黑体" w:hAnsi="黑体" w:eastAsia="黑体"/>
          <w:bCs/>
          <w:sz w:val="32"/>
          <w:szCs w:val="32"/>
        </w:rPr>
        <w:t>三、其他</w:t>
      </w:r>
    </w:p>
    <w:p w14:paraId="6A571304">
      <w:pPr>
        <w:adjustRightInd w:val="0"/>
        <w:snapToGrid w:val="0"/>
        <w:spacing w:line="560" w:lineRule="exact"/>
        <w:ind w:firstLine="640" w:firstLineChars="200"/>
        <w:textAlignment w:val="bottom"/>
        <w:rPr>
          <w:rFonts w:hint="eastAsia" w:ascii="仿宋_GB2312" w:hAnsi="仿宋" w:eastAsia="仿宋_GB2312"/>
          <w:sz w:val="32"/>
          <w:szCs w:val="32"/>
        </w:rPr>
      </w:pPr>
      <w:r>
        <w:rPr>
          <w:rFonts w:hint="eastAsia" w:ascii="仿宋_GB2312" w:hAnsi="仿宋" w:eastAsia="仿宋_GB2312"/>
          <w:sz w:val="32"/>
          <w:szCs w:val="32"/>
        </w:rPr>
        <w:t>《出租资产安全协议》与《房屋（土地）租赁合同》具有同等效力，《出租资产安全协议》一式两份，出租方、承租方各一份。</w:t>
      </w:r>
    </w:p>
    <w:p w14:paraId="29816FE0">
      <w:pPr>
        <w:adjustRightInd w:val="0"/>
        <w:snapToGrid w:val="0"/>
        <w:spacing w:line="560" w:lineRule="exact"/>
        <w:ind w:firstLine="640" w:firstLineChars="200"/>
        <w:textAlignment w:val="bottom"/>
        <w:rPr>
          <w:rFonts w:hint="eastAsia" w:ascii="仿宋_GB2312" w:hAnsi="仿宋" w:eastAsia="仿宋_GB2312"/>
          <w:sz w:val="32"/>
          <w:szCs w:val="32"/>
        </w:rPr>
      </w:pPr>
    </w:p>
    <w:p w14:paraId="65AD9BAC">
      <w:pPr>
        <w:adjustRightInd w:val="0"/>
        <w:snapToGrid w:val="0"/>
        <w:spacing w:line="560" w:lineRule="exact"/>
        <w:textAlignment w:val="bottom"/>
        <w:rPr>
          <w:rFonts w:hint="eastAsia" w:ascii="仿宋_GB2312" w:hAnsi="仿宋" w:eastAsia="仿宋_GB2312"/>
          <w:sz w:val="32"/>
          <w:szCs w:val="32"/>
        </w:rPr>
      </w:pPr>
      <w:r>
        <w:rPr>
          <w:rFonts w:hint="eastAsia" w:ascii="仿宋_GB2312" w:hAnsi="仿宋" w:eastAsia="仿宋_GB2312"/>
          <w:sz w:val="32"/>
          <w:szCs w:val="32"/>
        </w:rPr>
        <w:t>出租方：                             承租方：</w:t>
      </w:r>
    </w:p>
    <w:p w14:paraId="5039F145">
      <w:pPr>
        <w:adjustRightInd w:val="0"/>
        <w:snapToGrid w:val="0"/>
        <w:spacing w:line="560" w:lineRule="exact"/>
        <w:textAlignment w:val="bottom"/>
        <w:rPr>
          <w:rFonts w:hint="eastAsia" w:ascii="仿宋_GB2312" w:hAnsi="仿宋" w:eastAsia="仿宋_GB2312"/>
          <w:sz w:val="32"/>
          <w:szCs w:val="32"/>
        </w:rPr>
      </w:pPr>
      <w:r>
        <w:rPr>
          <w:rFonts w:hint="eastAsia" w:ascii="仿宋_GB2312" w:hAnsi="仿宋" w:eastAsia="仿宋_GB2312"/>
          <w:sz w:val="32"/>
          <w:szCs w:val="32"/>
        </w:rPr>
        <w:t>（盖章）                            （盖章）</w:t>
      </w:r>
    </w:p>
    <w:p w14:paraId="59E9D176">
      <w:pPr>
        <w:adjustRightInd w:val="0"/>
        <w:snapToGrid w:val="0"/>
        <w:spacing w:line="560" w:lineRule="exact"/>
        <w:textAlignment w:val="bottom"/>
        <w:rPr>
          <w:rFonts w:hint="eastAsia" w:ascii="仿宋" w:hAnsi="仿宋" w:eastAsia="仿宋" w:cs="仿宋"/>
          <w:sz w:val="28"/>
          <w:szCs w:val="28"/>
        </w:rPr>
      </w:pPr>
      <w:r>
        <w:rPr>
          <w:rFonts w:hint="eastAsia" w:ascii="仿宋_GB2312" w:hAnsi="仿宋" w:eastAsia="仿宋_GB2312"/>
          <w:sz w:val="32"/>
          <w:szCs w:val="32"/>
        </w:rPr>
        <w:t xml:space="preserve">       年   月    日                     年   月    日</w:t>
      </w:r>
    </w:p>
    <w:p w14:paraId="7A157D32">
      <w:pPr>
        <w:pStyle w:val="17"/>
        <w:spacing w:line="560" w:lineRule="exact"/>
        <w:textAlignment w:val="bottom"/>
        <w:rPr>
          <w:rFonts w:hint="eastAsia" w:ascii="仿宋_GB2312" w:hAnsi="仿宋_GB2312" w:eastAsia="仿宋_GB2312" w:cs="仿宋_GB2312"/>
          <w:sz w:val="32"/>
          <w:szCs w:val="32"/>
        </w:rPr>
      </w:pPr>
    </w:p>
    <w:p w14:paraId="2570E57F">
      <w:pPr>
        <w:spacing w:line="560" w:lineRule="exact"/>
        <w:ind w:left="6505" w:leftChars="50" w:hanging="6400" w:hangingChars="2000"/>
        <w:jc w:val="left"/>
        <w:textAlignment w:val="bottom"/>
        <w:rPr>
          <w:rFonts w:hint="eastAsia" w:ascii="仿宋_GB2312" w:hAnsi="仿宋_GB2312" w:eastAsia="仿宋_GB2312" w:cs="仿宋_GB2312"/>
          <w:sz w:val="32"/>
          <w:szCs w:val="32"/>
        </w:rPr>
      </w:pPr>
    </w:p>
    <w:p w14:paraId="7720F633">
      <w:pPr>
        <w:rPr>
          <w:rFonts w:hint="eastAsia" w:ascii="黑体" w:hAnsi="黑体" w:eastAsia="黑体" w:cs="黑体"/>
          <w:b/>
          <w:bCs/>
          <w:sz w:val="30"/>
          <w:szCs w:val="30"/>
        </w:rPr>
      </w:pPr>
    </w:p>
    <w:p w14:paraId="46920427">
      <w:pPr>
        <w:rPr>
          <w:rFonts w:hint="eastAsia" w:ascii="黑体" w:hAnsi="黑体" w:eastAsia="黑体" w:cs="黑体"/>
          <w:b/>
          <w:bCs/>
          <w:sz w:val="30"/>
          <w:szCs w:val="30"/>
        </w:rPr>
      </w:pPr>
    </w:p>
    <w:p w14:paraId="6AB62F4C">
      <w:pPr>
        <w:rPr>
          <w:rFonts w:hint="eastAsia" w:ascii="黑体" w:hAnsi="黑体" w:eastAsia="黑体" w:cs="黑体"/>
          <w:b/>
          <w:bCs/>
          <w:sz w:val="30"/>
          <w:szCs w:val="30"/>
        </w:rPr>
      </w:pPr>
    </w:p>
    <w:p w14:paraId="6A415C5C">
      <w:pPr>
        <w:rPr>
          <w:rFonts w:hint="eastAsia" w:ascii="黑体" w:hAnsi="黑体" w:eastAsia="黑体" w:cs="黑体"/>
          <w:b/>
          <w:bCs/>
          <w:sz w:val="30"/>
          <w:szCs w:val="30"/>
        </w:rPr>
      </w:pPr>
    </w:p>
    <w:p w14:paraId="688128E2">
      <w:pPr>
        <w:rPr>
          <w:rFonts w:hint="eastAsia" w:ascii="黑体" w:hAnsi="黑体" w:eastAsia="黑体" w:cs="黑体"/>
          <w:b/>
          <w:bCs/>
          <w:sz w:val="30"/>
          <w:szCs w:val="30"/>
        </w:rPr>
      </w:pPr>
    </w:p>
    <w:p w14:paraId="3E0A62C8">
      <w:pPr>
        <w:rPr>
          <w:rFonts w:hint="eastAsia" w:ascii="黑体" w:hAnsi="黑体" w:eastAsia="黑体" w:cs="黑体"/>
          <w:b/>
          <w:bCs/>
          <w:sz w:val="30"/>
          <w:szCs w:val="30"/>
        </w:rPr>
      </w:pPr>
    </w:p>
    <w:p w14:paraId="2F7C7616">
      <w:pPr>
        <w:rPr>
          <w:rFonts w:hint="eastAsia" w:ascii="黑体" w:hAnsi="黑体" w:eastAsia="黑体" w:cs="黑体"/>
          <w:b/>
          <w:bCs/>
          <w:sz w:val="30"/>
          <w:szCs w:val="30"/>
        </w:rPr>
      </w:pPr>
    </w:p>
    <w:p w14:paraId="54CB0541">
      <w:pPr>
        <w:rPr>
          <w:rFonts w:hint="eastAsia" w:ascii="黑体" w:hAnsi="黑体" w:eastAsia="黑体" w:cs="黑体"/>
          <w:b/>
          <w:bCs/>
          <w:sz w:val="30"/>
          <w:szCs w:val="30"/>
        </w:rPr>
      </w:pPr>
    </w:p>
    <w:p w14:paraId="0B957199">
      <w:pPr>
        <w:rPr>
          <w:rFonts w:hint="eastAsia" w:ascii="黑体" w:hAnsi="黑体" w:eastAsia="黑体" w:cs="黑体"/>
          <w:b/>
          <w:bCs/>
          <w:sz w:val="30"/>
          <w:szCs w:val="30"/>
        </w:rPr>
      </w:pPr>
    </w:p>
    <w:p w14:paraId="7F33AC08">
      <w:pPr>
        <w:rPr>
          <w:rFonts w:hint="eastAsia" w:ascii="黑体" w:hAnsi="黑体" w:eastAsia="黑体" w:cs="黑体"/>
          <w:b/>
          <w:bCs/>
          <w:sz w:val="30"/>
          <w:szCs w:val="30"/>
        </w:rPr>
      </w:pPr>
    </w:p>
    <w:p w14:paraId="7C5BAA9C">
      <w:pPr>
        <w:rPr>
          <w:rFonts w:hint="eastAsia" w:ascii="黑体" w:hAnsi="黑体" w:eastAsia="黑体" w:cs="黑体"/>
          <w:b/>
          <w:bCs/>
          <w:sz w:val="30"/>
          <w:szCs w:val="30"/>
        </w:rPr>
      </w:pPr>
    </w:p>
    <w:p w14:paraId="63AD1EAD">
      <w:pPr>
        <w:rPr>
          <w:rFonts w:hint="eastAsia" w:ascii="黑体" w:hAnsi="黑体" w:eastAsia="黑体" w:cs="黑体"/>
          <w:b/>
          <w:bCs/>
          <w:sz w:val="30"/>
          <w:szCs w:val="30"/>
        </w:rPr>
      </w:pPr>
    </w:p>
    <w:p w14:paraId="037EC45E">
      <w:pPr>
        <w:rPr>
          <w:rFonts w:hint="eastAsia" w:ascii="黑体" w:hAnsi="黑体" w:eastAsia="黑体" w:cs="黑体"/>
          <w:b/>
          <w:bCs/>
          <w:sz w:val="30"/>
          <w:szCs w:val="30"/>
        </w:rPr>
      </w:pPr>
    </w:p>
    <w:p w14:paraId="314004BE">
      <w:pPr>
        <w:rPr>
          <w:rFonts w:hint="eastAsia" w:ascii="黑体" w:hAnsi="黑体" w:eastAsia="黑体" w:cs="黑体"/>
          <w:b/>
          <w:bCs/>
          <w:sz w:val="30"/>
          <w:szCs w:val="30"/>
        </w:rPr>
      </w:pPr>
    </w:p>
    <w:p w14:paraId="0002C884">
      <w:pPr>
        <w:rPr>
          <w:rFonts w:hint="eastAsia" w:ascii="黑体" w:hAnsi="黑体" w:eastAsia="黑体" w:cs="黑体"/>
          <w:b/>
          <w:bCs/>
          <w:sz w:val="30"/>
          <w:szCs w:val="30"/>
        </w:rPr>
      </w:pPr>
    </w:p>
    <w:p w14:paraId="05D31B1E">
      <w:pPr>
        <w:rPr>
          <w:rFonts w:hint="eastAsia" w:ascii="黑体" w:hAnsi="黑体" w:eastAsia="黑体" w:cs="黑体"/>
          <w:b/>
          <w:bCs/>
          <w:sz w:val="30"/>
          <w:szCs w:val="30"/>
        </w:rPr>
      </w:pPr>
      <w:r>
        <w:rPr>
          <w:rFonts w:hint="eastAsia" w:ascii="黑体" w:hAnsi="黑体" w:eastAsia="黑体" w:cs="黑体"/>
          <w:b/>
          <w:bCs/>
          <w:sz w:val="30"/>
          <w:szCs w:val="30"/>
        </w:rPr>
        <w:drawing>
          <wp:inline distT="0" distB="0" distL="114300" distR="114300">
            <wp:extent cx="5542280" cy="7011670"/>
            <wp:effectExtent l="0" t="0" r="1270" b="17780"/>
            <wp:docPr id="2" name="图片 2" descr="175161371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51613714703"/>
                    <pic:cNvPicPr>
                      <a:picLocks noChangeAspect="1"/>
                    </pic:cNvPicPr>
                  </pic:nvPicPr>
                  <pic:blipFill>
                    <a:blip r:embed="rId5"/>
                    <a:stretch>
                      <a:fillRect/>
                    </a:stretch>
                  </pic:blipFill>
                  <pic:spPr>
                    <a:xfrm>
                      <a:off x="0" y="0"/>
                      <a:ext cx="5542280" cy="7011670"/>
                    </a:xfrm>
                    <a:prstGeom prst="rect">
                      <a:avLst/>
                    </a:prstGeom>
                  </pic:spPr>
                </pic:pic>
              </a:graphicData>
            </a:graphic>
          </wp:inline>
        </w:drawing>
      </w:r>
    </w:p>
    <w:p w14:paraId="262EFCA8">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E9F73C3-9B3C-4D91-A531-5A743B83578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746EBE6E-BE11-48A8-B44F-E79C10436807}"/>
  </w:font>
  <w:font w:name="仿宋_GB2312">
    <w:panose1 w:val="02010609030101010101"/>
    <w:charset w:val="86"/>
    <w:family w:val="modern"/>
    <w:pitch w:val="default"/>
    <w:sig w:usb0="00000001" w:usb1="080E0000" w:usb2="00000000" w:usb3="00000000" w:csb0="00040000" w:csb1="00000000"/>
    <w:embedRegular r:id="rId3" w:fontKey="{49018F58-2A08-4B30-A0BC-BB18934982A1}"/>
  </w:font>
  <w:font w:name="方正小标宋简体">
    <w:panose1 w:val="03000509000000000000"/>
    <w:charset w:val="86"/>
    <w:family w:val="auto"/>
    <w:pitch w:val="default"/>
    <w:sig w:usb0="00000001" w:usb1="080E0000" w:usb2="00000000" w:usb3="00000000" w:csb0="00040000" w:csb1="00000000"/>
    <w:embedRegular r:id="rId4" w:fontKey="{33C338ED-19E1-4E3C-8B1F-26457A2E9231}"/>
  </w:font>
  <w:font w:name="Helvetica">
    <w:altName w:val="Arial"/>
    <w:panose1 w:val="020B0604020202020204"/>
    <w:charset w:val="00"/>
    <w:family w:val="swiss"/>
    <w:pitch w:val="default"/>
    <w:sig w:usb0="00000000" w:usb1="00000000" w:usb2="00000000" w:usb3="00000000" w:csb0="00000001" w:csb1="00000000"/>
    <w:embedRegular r:id="rId5" w:fontKey="{65B0AAAF-9DEA-47B4-A53A-56AEED5A5954}"/>
  </w:font>
  <w:font w:name="仿宋">
    <w:panose1 w:val="02010609060101010101"/>
    <w:charset w:val="86"/>
    <w:family w:val="auto"/>
    <w:pitch w:val="default"/>
    <w:sig w:usb0="800002BF" w:usb1="38CF7CFA" w:usb2="00000016" w:usb3="00000000" w:csb0="00040001" w:csb1="00000000"/>
    <w:embedRegular r:id="rId6" w:fontKey="{ACF63B78-CDDE-4C64-9D42-4EE34391DF8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A608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6A9E3E0">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slorSAQAAogMAAA4AAABkcnMvZTJvRG9jLnhtbK1TS27bMBDdF8gd&#10;CO5jyTYaGILlIIGRokCRFkh7AJoiLQL8gUNb8gXSG3TVTfc9l8/RISU5RbrJohtqhjN8M+/NaH3b&#10;G02OIoBytqbzWUmJsNw1yu5r+u3rw/WKEojMNkw7K2p6EkBvN1fv1p2vxMK1TjciEASxUHW+pm2M&#10;vioK4K0wDGbOC4tB6YJhEd2wL5rAOkQ3uliU5U3RudD44LgAwNvtEKQjYngLoJNScbF1/GCEjQNq&#10;EJpFpASt8kA3uVspBY+fpQQRia4pMo35xCJo79JZbNas2gfmW8XHFthbWnjFyTBlsegFassiI4eg&#10;/oEyigcHTsYZd6YYiGRFkMW8fKXNU8u8yFxQavAX0eH/wfLH45dAVFPTJSWWGRz4+cf388/f51/P&#10;ZJnk6TxUmPXkMS/2967HpZnuAS8T614Gk77Ih2AcxT1dxBV9JDw9Wi1WqxJDHGOTg/jFy3MfIH4Q&#10;zpBk1DTg9LKo7PgJ4pA6paRq1j0orfMEtSVdTW+W78v84BJBcG2xRiIxNJus2O/6kdnONSck1uEG&#10;1NTiwlOiP1oUOC3LZITJ2E3GwQe1b7HHea4H/u4QsZvcZKowwI6FcXSZ5rhmaTf+9nPWy6+1+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T2yWitIBAACiAwAADgAAAAAAAAABACAAAAAfAQAA&#10;ZHJzL2Uyb0RvYy54bWxQSwUGAAAAAAYABgBZAQAAYwUAAAAA&#10;">
              <v:fill on="f" focussize="0,0"/>
              <v:stroke on="f" weight="0.5pt"/>
              <v:imagedata o:title=""/>
              <o:lock v:ext="edit" aspectratio="f"/>
              <v:textbox inset="0mm,0mm,0mm,0mm" style="mso-fit-shape-to-text:t;">
                <w:txbxContent>
                  <w:p w14:paraId="06A9E3E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1C1BE68C"/>
    <w:multiLevelType w:val="singleLevel"/>
    <w:tmpl w:val="1C1BE68C"/>
    <w:lvl w:ilvl="0" w:tentative="0">
      <w:start w:val="1"/>
      <w:numFmt w:val="decimal"/>
      <w:suff w:val="nothing"/>
      <w:lvlText w:val="%1、"/>
      <w:lvlJc w:val="left"/>
    </w:lvl>
  </w:abstractNum>
  <w:abstractNum w:abstractNumId="4">
    <w:nsid w:val="24808933"/>
    <w:multiLevelType w:val="singleLevel"/>
    <w:tmpl w:val="24808933"/>
    <w:lvl w:ilvl="0" w:tentative="0">
      <w:start w:val="1"/>
      <w:numFmt w:val="chineseCounting"/>
      <w:suff w:val="nothing"/>
      <w:lvlText w:val="（%1）"/>
      <w:lvlJc w:val="left"/>
      <w:rPr>
        <w:rFonts w:hint="eastAsia"/>
        <w:strike w:val="0"/>
      </w:rPr>
    </w:lvl>
  </w:abstractNum>
  <w:abstractNum w:abstractNumId="5">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6">
    <w:nsid w:val="51BD9309"/>
    <w:multiLevelType w:val="singleLevel"/>
    <w:tmpl w:val="51BD9309"/>
    <w:lvl w:ilvl="0" w:tentative="0">
      <w:start w:val="3"/>
      <w:numFmt w:val="chineseCounting"/>
      <w:suff w:val="nothing"/>
      <w:lvlText w:val="（%1）"/>
      <w:lvlJc w:val="left"/>
      <w:rPr>
        <w:rFonts w:hint="eastAsia"/>
      </w:r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145609"/>
    <w:rsid w:val="01E90844"/>
    <w:rsid w:val="024141DC"/>
    <w:rsid w:val="0332193F"/>
    <w:rsid w:val="03A83EC6"/>
    <w:rsid w:val="044C330C"/>
    <w:rsid w:val="046248DD"/>
    <w:rsid w:val="04CC48A5"/>
    <w:rsid w:val="04E8159A"/>
    <w:rsid w:val="05706B86"/>
    <w:rsid w:val="07724E37"/>
    <w:rsid w:val="078C6EA6"/>
    <w:rsid w:val="082C148A"/>
    <w:rsid w:val="08940DDD"/>
    <w:rsid w:val="09563087"/>
    <w:rsid w:val="0A0F45A7"/>
    <w:rsid w:val="0AC7549A"/>
    <w:rsid w:val="0ADA341F"/>
    <w:rsid w:val="0B27418B"/>
    <w:rsid w:val="0B845139"/>
    <w:rsid w:val="0B9E444D"/>
    <w:rsid w:val="0C654F6B"/>
    <w:rsid w:val="0C9E047D"/>
    <w:rsid w:val="0CAE11B1"/>
    <w:rsid w:val="0D2941EA"/>
    <w:rsid w:val="0D755681"/>
    <w:rsid w:val="0DB60CFB"/>
    <w:rsid w:val="0E032C8D"/>
    <w:rsid w:val="0E8A515C"/>
    <w:rsid w:val="0E8C4620"/>
    <w:rsid w:val="0F45621F"/>
    <w:rsid w:val="0F9E7DA0"/>
    <w:rsid w:val="0FE32D76"/>
    <w:rsid w:val="10447EAA"/>
    <w:rsid w:val="11AE00FA"/>
    <w:rsid w:val="13E40E6B"/>
    <w:rsid w:val="15565D98"/>
    <w:rsid w:val="15EC3809"/>
    <w:rsid w:val="16124B55"/>
    <w:rsid w:val="163F682C"/>
    <w:rsid w:val="1673687F"/>
    <w:rsid w:val="16B4429C"/>
    <w:rsid w:val="171B2DF6"/>
    <w:rsid w:val="17A70B2D"/>
    <w:rsid w:val="183A35E1"/>
    <w:rsid w:val="1B6C6C42"/>
    <w:rsid w:val="1BA64381"/>
    <w:rsid w:val="1C36422E"/>
    <w:rsid w:val="1C7B60E4"/>
    <w:rsid w:val="1E1B192D"/>
    <w:rsid w:val="1F1840BF"/>
    <w:rsid w:val="1F2B3DF2"/>
    <w:rsid w:val="202E24B8"/>
    <w:rsid w:val="20557297"/>
    <w:rsid w:val="20B47409"/>
    <w:rsid w:val="20C444FE"/>
    <w:rsid w:val="20E26732"/>
    <w:rsid w:val="2149055F"/>
    <w:rsid w:val="21751354"/>
    <w:rsid w:val="22771AD7"/>
    <w:rsid w:val="228A7081"/>
    <w:rsid w:val="236C6787"/>
    <w:rsid w:val="23AB3753"/>
    <w:rsid w:val="23AC639B"/>
    <w:rsid w:val="24FF3D57"/>
    <w:rsid w:val="26A12BEB"/>
    <w:rsid w:val="26BA6837"/>
    <w:rsid w:val="270E5359"/>
    <w:rsid w:val="27E3461F"/>
    <w:rsid w:val="283F26BC"/>
    <w:rsid w:val="292F2731"/>
    <w:rsid w:val="294001AA"/>
    <w:rsid w:val="29FA0F90"/>
    <w:rsid w:val="2B5B6396"/>
    <w:rsid w:val="2CC24314"/>
    <w:rsid w:val="2EBA6F40"/>
    <w:rsid w:val="2F6173BC"/>
    <w:rsid w:val="2FBE65BC"/>
    <w:rsid w:val="300C7328"/>
    <w:rsid w:val="301533B0"/>
    <w:rsid w:val="324C7EAF"/>
    <w:rsid w:val="32AF043E"/>
    <w:rsid w:val="32E620B2"/>
    <w:rsid w:val="332D7CE1"/>
    <w:rsid w:val="336A24F7"/>
    <w:rsid w:val="34AA6116"/>
    <w:rsid w:val="361678D4"/>
    <w:rsid w:val="361869CB"/>
    <w:rsid w:val="36280C33"/>
    <w:rsid w:val="3680281D"/>
    <w:rsid w:val="36A75FFC"/>
    <w:rsid w:val="36BB5604"/>
    <w:rsid w:val="374675C3"/>
    <w:rsid w:val="37AD13F0"/>
    <w:rsid w:val="3821593A"/>
    <w:rsid w:val="389425B0"/>
    <w:rsid w:val="38CC7F9C"/>
    <w:rsid w:val="38F96120"/>
    <w:rsid w:val="393A53ED"/>
    <w:rsid w:val="3981176F"/>
    <w:rsid w:val="39B90520"/>
    <w:rsid w:val="39E127E1"/>
    <w:rsid w:val="3A667F7C"/>
    <w:rsid w:val="3A6B10EF"/>
    <w:rsid w:val="3ADA4485"/>
    <w:rsid w:val="3C1504A5"/>
    <w:rsid w:val="3CCF1E09"/>
    <w:rsid w:val="3DC54FBA"/>
    <w:rsid w:val="3ED216D9"/>
    <w:rsid w:val="407B3020"/>
    <w:rsid w:val="41704F33"/>
    <w:rsid w:val="41C9151C"/>
    <w:rsid w:val="41D34149"/>
    <w:rsid w:val="41DF4BEC"/>
    <w:rsid w:val="43574906"/>
    <w:rsid w:val="438F64E0"/>
    <w:rsid w:val="448160DE"/>
    <w:rsid w:val="44AD406E"/>
    <w:rsid w:val="45392515"/>
    <w:rsid w:val="45BE0C6C"/>
    <w:rsid w:val="45FF6E2A"/>
    <w:rsid w:val="47571378"/>
    <w:rsid w:val="477261B2"/>
    <w:rsid w:val="49521DF7"/>
    <w:rsid w:val="495C4A24"/>
    <w:rsid w:val="49F639D4"/>
    <w:rsid w:val="4A687422"/>
    <w:rsid w:val="4A6F4C2B"/>
    <w:rsid w:val="4CA54934"/>
    <w:rsid w:val="4DB72B71"/>
    <w:rsid w:val="4E791BD4"/>
    <w:rsid w:val="4EFF199E"/>
    <w:rsid w:val="50BB6933"/>
    <w:rsid w:val="51087240"/>
    <w:rsid w:val="517F670C"/>
    <w:rsid w:val="51850890"/>
    <w:rsid w:val="523E7488"/>
    <w:rsid w:val="53163C4B"/>
    <w:rsid w:val="53DB6E8D"/>
    <w:rsid w:val="53E67D0C"/>
    <w:rsid w:val="54A2107A"/>
    <w:rsid w:val="551408A9"/>
    <w:rsid w:val="55A0213D"/>
    <w:rsid w:val="578E4942"/>
    <w:rsid w:val="58845F28"/>
    <w:rsid w:val="58CB5722"/>
    <w:rsid w:val="58DF4954"/>
    <w:rsid w:val="58FF53CC"/>
    <w:rsid w:val="59142C25"/>
    <w:rsid w:val="598B6C60"/>
    <w:rsid w:val="5A020223"/>
    <w:rsid w:val="5AD32876"/>
    <w:rsid w:val="5B3752F1"/>
    <w:rsid w:val="5B9B13DC"/>
    <w:rsid w:val="5BF84746"/>
    <w:rsid w:val="5C0E6052"/>
    <w:rsid w:val="5D1A6C78"/>
    <w:rsid w:val="5DA64068"/>
    <w:rsid w:val="5E425E33"/>
    <w:rsid w:val="5EC944B2"/>
    <w:rsid w:val="5F772160"/>
    <w:rsid w:val="601C4AB5"/>
    <w:rsid w:val="60310561"/>
    <w:rsid w:val="60DB227B"/>
    <w:rsid w:val="610F06F6"/>
    <w:rsid w:val="613227E3"/>
    <w:rsid w:val="61AD7D3C"/>
    <w:rsid w:val="624A590A"/>
    <w:rsid w:val="62D92ADC"/>
    <w:rsid w:val="633839B4"/>
    <w:rsid w:val="63A32D5E"/>
    <w:rsid w:val="63D657AA"/>
    <w:rsid w:val="64A05CB5"/>
    <w:rsid w:val="65A17F37"/>
    <w:rsid w:val="65D266CD"/>
    <w:rsid w:val="672030DD"/>
    <w:rsid w:val="68B65AA7"/>
    <w:rsid w:val="690D143F"/>
    <w:rsid w:val="69B0699A"/>
    <w:rsid w:val="69E71C90"/>
    <w:rsid w:val="69FA5E67"/>
    <w:rsid w:val="6B2A277C"/>
    <w:rsid w:val="6BEA3CBA"/>
    <w:rsid w:val="6C186A79"/>
    <w:rsid w:val="6EC46A44"/>
    <w:rsid w:val="6EE15C81"/>
    <w:rsid w:val="6EF54E4F"/>
    <w:rsid w:val="6EF81C00"/>
    <w:rsid w:val="70AB7EBB"/>
    <w:rsid w:val="72FD2525"/>
    <w:rsid w:val="734B3290"/>
    <w:rsid w:val="7380441B"/>
    <w:rsid w:val="74055B36"/>
    <w:rsid w:val="74D3353D"/>
    <w:rsid w:val="750D1C16"/>
    <w:rsid w:val="7517506E"/>
    <w:rsid w:val="75545F0B"/>
    <w:rsid w:val="75A629FF"/>
    <w:rsid w:val="75ED062E"/>
    <w:rsid w:val="76426BCC"/>
    <w:rsid w:val="78FE2B52"/>
    <w:rsid w:val="795D3D1D"/>
    <w:rsid w:val="79F91C98"/>
    <w:rsid w:val="79FD2E0A"/>
    <w:rsid w:val="7A0847C2"/>
    <w:rsid w:val="7A15284A"/>
    <w:rsid w:val="7AE42206"/>
    <w:rsid w:val="7CEE331F"/>
    <w:rsid w:val="7E5971A9"/>
    <w:rsid w:val="7E5E656D"/>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10284</Words>
  <Characters>10580</Characters>
  <Lines>0</Lines>
  <Paragraphs>0</Paragraphs>
  <TotalTime>0</TotalTime>
  <ScaleCrop>false</ScaleCrop>
  <LinksUpToDate>false</LinksUpToDate>
  <CharactersWithSpaces>11010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2025-09-22T01:25:56Z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